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AE" w:rsidRDefault="004C5AA8">
      <w:pPr>
        <w:jc w:val="center"/>
        <w:rPr>
          <w:sz w:val="22"/>
          <w:szCs w:val="22"/>
        </w:rPr>
      </w:pPr>
      <w:r>
        <w:rPr>
          <w:b/>
          <w:smallCaps/>
          <w:sz w:val="22"/>
          <w:szCs w:val="22"/>
        </w:rPr>
        <w:t xml:space="preserve">PENGARUH </w:t>
      </w:r>
      <w:r>
        <w:rPr>
          <w:b/>
          <w:i/>
          <w:smallCaps/>
          <w:sz w:val="22"/>
          <w:szCs w:val="22"/>
        </w:rPr>
        <w:t>CORPORATE GOVERNANCE</w:t>
      </w:r>
      <w:r>
        <w:rPr>
          <w:b/>
          <w:smallCaps/>
          <w:sz w:val="22"/>
          <w:szCs w:val="22"/>
        </w:rPr>
        <w:t xml:space="preserve"> DAN PENGUNGKAPAN </w:t>
      </w:r>
      <w:r>
        <w:rPr>
          <w:b/>
          <w:i/>
          <w:smallCaps/>
          <w:sz w:val="22"/>
          <w:szCs w:val="22"/>
        </w:rPr>
        <w:t xml:space="preserve">CORPORATE SOCIAL RESPONSIBILITY </w:t>
      </w:r>
      <w:r>
        <w:rPr>
          <w:b/>
          <w:smallCaps/>
          <w:sz w:val="22"/>
          <w:szCs w:val="22"/>
        </w:rPr>
        <w:t>TERHADAP AGRESIVITAS PAJAK</w:t>
      </w:r>
    </w:p>
    <w:p w:rsidR="008101AE" w:rsidRDefault="004C5AA8">
      <w:pPr>
        <w:pStyle w:val="Title"/>
        <w:spacing w:line="240" w:lineRule="auto"/>
        <w:rPr>
          <w:sz w:val="22"/>
          <w:szCs w:val="22"/>
        </w:rPr>
      </w:pPr>
      <w:r>
        <w:rPr>
          <w:sz w:val="22"/>
          <w:szCs w:val="22"/>
        </w:rPr>
        <w:t>(Studi Kasus Pada Perusahaan Pertambangan yang Terdaftar di BEI Periode 2015-2019)</w:t>
      </w:r>
    </w:p>
    <w:p w:rsidR="008101AE" w:rsidRDefault="008101AE">
      <w:pPr>
        <w:pStyle w:val="Title"/>
        <w:spacing w:line="240" w:lineRule="auto"/>
        <w:rPr>
          <w:sz w:val="22"/>
          <w:szCs w:val="22"/>
        </w:rPr>
      </w:pPr>
    </w:p>
    <w:p w:rsidR="004C5AA8" w:rsidRDefault="004C5AA8" w:rsidP="004C5AA8">
      <w:pPr>
        <w:pStyle w:val="Title"/>
        <w:spacing w:line="240" w:lineRule="auto"/>
        <w:rPr>
          <w:sz w:val="22"/>
          <w:szCs w:val="22"/>
        </w:rPr>
      </w:pPr>
      <w:r>
        <w:rPr>
          <w:sz w:val="22"/>
          <w:szCs w:val="22"/>
        </w:rPr>
        <w:t>Satriawaty Migang</w:t>
      </w:r>
      <w:r w:rsidRPr="00313106">
        <w:rPr>
          <w:sz w:val="22"/>
          <w:szCs w:val="22"/>
          <w:vertAlign w:val="superscript"/>
        </w:rPr>
        <w:t>1</w:t>
      </w:r>
      <w:r>
        <w:rPr>
          <w:sz w:val="22"/>
          <w:szCs w:val="22"/>
        </w:rPr>
        <w:t>, Winda Rivia Dina</w:t>
      </w:r>
      <w:r w:rsidRPr="00313106">
        <w:rPr>
          <w:sz w:val="22"/>
          <w:szCs w:val="22"/>
          <w:vertAlign w:val="superscript"/>
        </w:rPr>
        <w:t>2</w:t>
      </w:r>
    </w:p>
    <w:p w:rsidR="004C5AA8" w:rsidRDefault="004C5AA8" w:rsidP="004C5AA8">
      <w:pPr>
        <w:pStyle w:val="Title"/>
        <w:spacing w:line="240" w:lineRule="auto"/>
        <w:rPr>
          <w:b w:val="0"/>
          <w:i/>
          <w:sz w:val="22"/>
          <w:szCs w:val="22"/>
        </w:rPr>
      </w:pPr>
      <w:r w:rsidRPr="00313106">
        <w:rPr>
          <w:b w:val="0"/>
          <w:i/>
          <w:sz w:val="22"/>
          <w:szCs w:val="22"/>
          <w:vertAlign w:val="superscript"/>
        </w:rPr>
        <w:t>12</w:t>
      </w:r>
      <w:r w:rsidRPr="00313106">
        <w:rPr>
          <w:b w:val="0"/>
          <w:i/>
          <w:sz w:val="22"/>
          <w:szCs w:val="22"/>
        </w:rPr>
        <w:t>Prodi Akuntansi, Universitas Balikpapan</w:t>
      </w:r>
    </w:p>
    <w:p w:rsidR="004C5AA8" w:rsidRPr="00363249" w:rsidRDefault="00363249" w:rsidP="004C5AA8">
      <w:pPr>
        <w:jc w:val="center"/>
        <w:rPr>
          <w:i/>
        </w:rPr>
      </w:pPr>
      <w:r w:rsidRPr="00363249">
        <w:rPr>
          <w:i/>
          <w:vertAlign w:val="superscript"/>
        </w:rPr>
        <w:t>1</w:t>
      </w:r>
      <w:hyperlink r:id="rId8" w:history="1">
        <w:r w:rsidR="004C5AA8" w:rsidRPr="00363249">
          <w:rPr>
            <w:rStyle w:val="Hyperlink"/>
            <w:i/>
            <w:color w:val="auto"/>
            <w:u w:val="none"/>
          </w:rPr>
          <w:t>satriawaty.migang@uniba-bpn.ac.id</w:t>
        </w:r>
      </w:hyperlink>
      <w:r w:rsidR="004C5AA8" w:rsidRPr="00363249">
        <w:rPr>
          <w:i/>
        </w:rPr>
        <w:t xml:space="preserve"> </w:t>
      </w:r>
    </w:p>
    <w:p w:rsidR="008101AE" w:rsidRDefault="008101AE">
      <w:pPr>
        <w:pStyle w:val="Title"/>
        <w:spacing w:line="240" w:lineRule="auto"/>
        <w:rPr>
          <w:sz w:val="22"/>
          <w:szCs w:val="22"/>
        </w:rPr>
      </w:pPr>
    </w:p>
    <w:p w:rsidR="008101AE" w:rsidRDefault="004C5AA8">
      <w:pPr>
        <w:pStyle w:val="Title"/>
        <w:spacing w:line="240" w:lineRule="auto"/>
        <w:rPr>
          <w:sz w:val="22"/>
          <w:szCs w:val="22"/>
        </w:rPr>
      </w:pPr>
      <w:r>
        <w:rPr>
          <w:sz w:val="22"/>
          <w:szCs w:val="22"/>
        </w:rPr>
        <w:t>ABSTRAK</w:t>
      </w:r>
    </w:p>
    <w:p w:rsidR="008101AE" w:rsidRDefault="008101AE">
      <w:pPr>
        <w:widowControl w:val="0"/>
        <w:spacing w:before="6"/>
        <w:rPr>
          <w:sz w:val="22"/>
          <w:szCs w:val="22"/>
        </w:rPr>
      </w:pPr>
    </w:p>
    <w:p w:rsidR="008101AE" w:rsidRDefault="004C5AA8">
      <w:pPr>
        <w:widowControl w:val="0"/>
        <w:tabs>
          <w:tab w:val="left" w:pos="7938"/>
          <w:tab w:val="left" w:pos="8222"/>
        </w:tabs>
        <w:ind w:right="49" w:firstLine="720"/>
        <w:jc w:val="both"/>
        <w:rPr>
          <w:sz w:val="22"/>
          <w:szCs w:val="22"/>
        </w:rPr>
      </w:pPr>
      <w:proofErr w:type="gramStart"/>
      <w:r>
        <w:rPr>
          <w:sz w:val="22"/>
          <w:szCs w:val="22"/>
        </w:rPr>
        <w:t xml:space="preserve">Penelitian ini bertujuan untuk menguji pengaruh </w:t>
      </w:r>
      <w:r>
        <w:rPr>
          <w:i/>
          <w:sz w:val="22"/>
          <w:szCs w:val="22"/>
        </w:rPr>
        <w:t xml:space="preserve">corporate governance </w:t>
      </w:r>
      <w:r>
        <w:rPr>
          <w:sz w:val="22"/>
          <w:szCs w:val="22"/>
        </w:rPr>
        <w:t xml:space="preserve">dan pengungkapan </w:t>
      </w:r>
      <w:r>
        <w:rPr>
          <w:i/>
          <w:sz w:val="22"/>
          <w:szCs w:val="22"/>
        </w:rPr>
        <w:t xml:space="preserve">corporate social responsibility </w:t>
      </w:r>
      <w:r>
        <w:rPr>
          <w:sz w:val="22"/>
          <w:szCs w:val="22"/>
        </w:rPr>
        <w:t>terhadap agresivitas pajak pada perusahaan pertambangan yang terdaftar di Bursa Efek Indonesia pada tahun 2015-2019.</w:t>
      </w:r>
      <w:proofErr w:type="gramEnd"/>
      <w:r>
        <w:rPr>
          <w:sz w:val="22"/>
          <w:szCs w:val="22"/>
        </w:rPr>
        <w:t xml:space="preserve"> </w:t>
      </w:r>
      <w:proofErr w:type="gramStart"/>
      <w:r>
        <w:rPr>
          <w:sz w:val="22"/>
          <w:szCs w:val="22"/>
        </w:rPr>
        <w:t>Penelitian ini menggunakan 8 sampel perusahaan dari 38 populasi.</w:t>
      </w:r>
      <w:proofErr w:type="gramEnd"/>
      <w:r>
        <w:rPr>
          <w:sz w:val="22"/>
          <w:szCs w:val="22"/>
        </w:rPr>
        <w:t xml:space="preserve"> </w:t>
      </w:r>
      <w:proofErr w:type="gramStart"/>
      <w:r>
        <w:rPr>
          <w:sz w:val="22"/>
          <w:szCs w:val="22"/>
        </w:rPr>
        <w:t xml:space="preserve">Agresivitas pajak diproksikan menggunakan ETR, </w:t>
      </w:r>
      <w:r>
        <w:rPr>
          <w:i/>
          <w:sz w:val="22"/>
          <w:szCs w:val="22"/>
        </w:rPr>
        <w:t xml:space="preserve">corporate governance </w:t>
      </w:r>
      <w:r>
        <w:rPr>
          <w:sz w:val="22"/>
          <w:szCs w:val="22"/>
        </w:rPr>
        <w:t>diprokiskan menggunakan komisaris independen, komite audit, dan kepemilikan institusional.</w:t>
      </w:r>
      <w:proofErr w:type="gramEnd"/>
      <w:r>
        <w:rPr>
          <w:sz w:val="22"/>
          <w:szCs w:val="22"/>
        </w:rPr>
        <w:t xml:space="preserve"> </w:t>
      </w:r>
      <w:proofErr w:type="gramStart"/>
      <w:r>
        <w:rPr>
          <w:i/>
          <w:sz w:val="22"/>
          <w:szCs w:val="22"/>
        </w:rPr>
        <w:t xml:space="preserve">Corporate social responsibility </w:t>
      </w:r>
      <w:r>
        <w:rPr>
          <w:sz w:val="22"/>
          <w:szCs w:val="22"/>
        </w:rPr>
        <w:t xml:space="preserve">diukur menggunakan indikator pengungkapan CSR berdasarkan pedoman </w:t>
      </w:r>
      <w:r>
        <w:rPr>
          <w:i/>
          <w:sz w:val="22"/>
          <w:szCs w:val="22"/>
        </w:rPr>
        <w:t xml:space="preserve">Global Reporting Initiative </w:t>
      </w:r>
      <w:r>
        <w:rPr>
          <w:sz w:val="22"/>
          <w:szCs w:val="22"/>
        </w:rPr>
        <w:t>(GRI).</w:t>
      </w:r>
      <w:proofErr w:type="gramEnd"/>
      <w:r>
        <w:rPr>
          <w:sz w:val="22"/>
          <w:szCs w:val="22"/>
        </w:rPr>
        <w:t xml:space="preserve"> Hasil penelitian ini menunjukkan bahwa </w:t>
      </w:r>
      <w:r>
        <w:rPr>
          <w:i/>
          <w:sz w:val="22"/>
          <w:szCs w:val="22"/>
        </w:rPr>
        <w:t xml:space="preserve">corporate governance </w:t>
      </w:r>
      <w:r>
        <w:rPr>
          <w:sz w:val="22"/>
          <w:szCs w:val="22"/>
        </w:rPr>
        <w:t>yang diproksikan menggunakan komisaris independen dan kepemilikan institusional serta</w:t>
      </w:r>
      <w:r>
        <w:rPr>
          <w:i/>
          <w:sz w:val="22"/>
          <w:szCs w:val="22"/>
        </w:rPr>
        <w:t xml:space="preserve"> corporate social </w:t>
      </w:r>
      <w:proofErr w:type="gramStart"/>
      <w:r>
        <w:rPr>
          <w:i/>
          <w:sz w:val="22"/>
          <w:szCs w:val="22"/>
        </w:rPr>
        <w:t xml:space="preserve">responsibility </w:t>
      </w:r>
      <w:r>
        <w:rPr>
          <w:sz w:val="22"/>
          <w:szCs w:val="22"/>
        </w:rPr>
        <w:t xml:space="preserve"> berpengaruh</w:t>
      </w:r>
      <w:proofErr w:type="gramEnd"/>
      <w:r>
        <w:rPr>
          <w:sz w:val="22"/>
          <w:szCs w:val="22"/>
        </w:rPr>
        <w:t xml:space="preserve"> terhadap agresivitas pajak, sedangkan </w:t>
      </w:r>
      <w:r>
        <w:rPr>
          <w:i/>
          <w:sz w:val="22"/>
          <w:szCs w:val="22"/>
        </w:rPr>
        <w:t xml:space="preserve">corporate governance </w:t>
      </w:r>
      <w:r>
        <w:rPr>
          <w:sz w:val="22"/>
          <w:szCs w:val="22"/>
        </w:rPr>
        <w:t>yang diproksikan menggunakan komite audit tidak</w:t>
      </w:r>
      <w:r>
        <w:rPr>
          <w:i/>
          <w:sz w:val="22"/>
          <w:szCs w:val="22"/>
        </w:rPr>
        <w:t xml:space="preserve"> </w:t>
      </w:r>
      <w:r>
        <w:rPr>
          <w:sz w:val="22"/>
          <w:szCs w:val="22"/>
        </w:rPr>
        <w:t>berpengaruh terhadap agresivitas pajak.</w:t>
      </w:r>
    </w:p>
    <w:p w:rsidR="008101AE" w:rsidRDefault="008101AE">
      <w:pPr>
        <w:widowControl w:val="0"/>
        <w:spacing w:before="11"/>
        <w:rPr>
          <w:sz w:val="22"/>
          <w:szCs w:val="22"/>
        </w:rPr>
      </w:pPr>
    </w:p>
    <w:p w:rsidR="008101AE" w:rsidRDefault="004C5AA8">
      <w:pPr>
        <w:widowControl w:val="0"/>
        <w:ind w:left="1276" w:right="49" w:hanging="1276"/>
        <w:rPr>
          <w:sz w:val="22"/>
          <w:szCs w:val="22"/>
        </w:rPr>
      </w:pPr>
      <w:r>
        <w:rPr>
          <w:b/>
          <w:sz w:val="22"/>
          <w:szCs w:val="22"/>
        </w:rPr>
        <w:t xml:space="preserve">Kata Kunci: </w:t>
      </w:r>
      <w:r>
        <w:rPr>
          <w:i/>
          <w:sz w:val="22"/>
          <w:szCs w:val="22"/>
        </w:rPr>
        <w:t xml:space="preserve">agresivitas pajak, corporate governance, corporate social responsibility.          </w:t>
      </w:r>
    </w:p>
    <w:p w:rsidR="008101AE" w:rsidRDefault="008101AE">
      <w:pPr>
        <w:pStyle w:val="Title"/>
        <w:spacing w:line="240" w:lineRule="auto"/>
        <w:rPr>
          <w:sz w:val="22"/>
          <w:szCs w:val="22"/>
        </w:rPr>
      </w:pPr>
    </w:p>
    <w:p w:rsidR="008101AE" w:rsidRDefault="004C5AA8">
      <w:pPr>
        <w:pStyle w:val="Title"/>
        <w:spacing w:line="240" w:lineRule="auto"/>
        <w:rPr>
          <w:sz w:val="22"/>
          <w:szCs w:val="22"/>
        </w:rPr>
      </w:pPr>
      <w:r>
        <w:rPr>
          <w:i/>
          <w:sz w:val="22"/>
          <w:szCs w:val="22"/>
        </w:rPr>
        <w:t>ABSTRACT</w:t>
      </w:r>
    </w:p>
    <w:p w:rsidR="008101AE" w:rsidRDefault="008101AE">
      <w:pPr>
        <w:pStyle w:val="Title"/>
        <w:spacing w:line="240" w:lineRule="auto"/>
        <w:jc w:val="both"/>
        <w:rPr>
          <w:b w:val="0"/>
          <w:sz w:val="22"/>
          <w:szCs w:val="22"/>
        </w:rPr>
      </w:pPr>
    </w:p>
    <w:p w:rsidR="008101AE" w:rsidRDefault="004C5AA8">
      <w:pPr>
        <w:widowControl w:val="0"/>
        <w:spacing w:before="10"/>
        <w:jc w:val="both"/>
        <w:rPr>
          <w:sz w:val="22"/>
          <w:szCs w:val="22"/>
        </w:rPr>
      </w:pPr>
      <w:r>
        <w:rPr>
          <w:i/>
          <w:sz w:val="22"/>
          <w:szCs w:val="22"/>
        </w:rPr>
        <w:t xml:space="preserve">This study aims to examine the effect of corporate governance and disclosure of corporate social </w:t>
      </w:r>
      <w:proofErr w:type="gramStart"/>
      <w:r>
        <w:rPr>
          <w:i/>
          <w:sz w:val="22"/>
          <w:szCs w:val="22"/>
        </w:rPr>
        <w:t>responsibility</w:t>
      </w:r>
      <w:proofErr w:type="gramEnd"/>
      <w:r>
        <w:rPr>
          <w:i/>
          <w:sz w:val="22"/>
          <w:szCs w:val="22"/>
        </w:rPr>
        <w:t xml:space="preserve"> on the tax aggressiveness of mining companies listed on the Indonesia Stock Exchange in 2015-2019. This study uses 8 sample companies from 38 populations. Tax aggressiveness is proxied using </w:t>
      </w:r>
      <w:proofErr w:type="gramStart"/>
      <w:r>
        <w:rPr>
          <w:i/>
          <w:sz w:val="22"/>
          <w:szCs w:val="22"/>
        </w:rPr>
        <w:t>ETR,</w:t>
      </w:r>
      <w:proofErr w:type="gramEnd"/>
      <w:r>
        <w:rPr>
          <w:i/>
          <w:sz w:val="22"/>
          <w:szCs w:val="22"/>
        </w:rPr>
        <w:t xml:space="preserve"> corporate governance is proxied using independent commissioners, audit committees, and institutional ownership. Corporate social responsibility is measured using CSR disclosure indicators based on the Global Reporting Initiative (GRI) guidelines. The results of this study indicate that corporate governance that is proxied by using</w:t>
      </w:r>
      <w:r>
        <w:rPr>
          <w:sz w:val="22"/>
          <w:szCs w:val="22"/>
        </w:rPr>
        <w:t xml:space="preserve"> </w:t>
      </w:r>
      <w:r>
        <w:rPr>
          <w:i/>
          <w:sz w:val="22"/>
          <w:szCs w:val="22"/>
        </w:rPr>
        <w:t>independent commissioners and institutional ownership also corporate social responsibility has an effect on tax aggressiveness, while corporate governance that is proxied using audit committees does not affect tax aggressiveness.</w:t>
      </w:r>
    </w:p>
    <w:p w:rsidR="008101AE" w:rsidRDefault="008101AE">
      <w:pPr>
        <w:jc w:val="both"/>
        <w:rPr>
          <w:sz w:val="22"/>
          <w:szCs w:val="22"/>
        </w:rPr>
      </w:pPr>
    </w:p>
    <w:p w:rsidR="00625B6E" w:rsidRDefault="004C5AA8">
      <w:pPr>
        <w:widowControl w:val="0"/>
        <w:spacing w:before="1"/>
        <w:ind w:left="1134" w:right="49" w:hanging="1134"/>
        <w:rPr>
          <w:i/>
          <w:sz w:val="22"/>
          <w:szCs w:val="22"/>
        </w:rPr>
      </w:pPr>
      <w:r>
        <w:rPr>
          <w:b/>
          <w:sz w:val="22"/>
          <w:szCs w:val="22"/>
        </w:rPr>
        <w:t xml:space="preserve">Keywords: </w:t>
      </w:r>
      <w:r>
        <w:rPr>
          <w:i/>
          <w:sz w:val="22"/>
          <w:szCs w:val="22"/>
        </w:rPr>
        <w:t>tax aggressiveness, corporate governance, corporate social responsibility</w:t>
      </w:r>
    </w:p>
    <w:p w:rsidR="00625B6E" w:rsidRDefault="00625B6E">
      <w:pPr>
        <w:jc w:val="both"/>
        <w:rPr>
          <w:b/>
          <w:smallCaps/>
          <w:sz w:val="22"/>
          <w:szCs w:val="22"/>
        </w:rPr>
      </w:pPr>
    </w:p>
    <w:p w:rsidR="008101AE" w:rsidRDefault="004C5AA8">
      <w:pPr>
        <w:jc w:val="both"/>
        <w:rPr>
          <w:sz w:val="22"/>
          <w:szCs w:val="22"/>
        </w:rPr>
      </w:pPr>
      <w:r>
        <w:rPr>
          <w:b/>
          <w:smallCaps/>
          <w:sz w:val="22"/>
          <w:szCs w:val="22"/>
        </w:rPr>
        <w:t>PENDAHULUAN</w:t>
      </w:r>
    </w:p>
    <w:p w:rsidR="008101AE" w:rsidRDefault="008101AE">
      <w:pPr>
        <w:pBdr>
          <w:top w:val="nil"/>
          <w:left w:val="nil"/>
          <w:bottom w:val="nil"/>
          <w:right w:val="nil"/>
          <w:between w:val="nil"/>
        </w:pBdr>
        <w:ind w:firstLine="424"/>
        <w:jc w:val="both"/>
        <w:rPr>
          <w:color w:val="000000"/>
          <w:sz w:val="22"/>
          <w:szCs w:val="22"/>
        </w:rPr>
      </w:pPr>
    </w:p>
    <w:p w:rsidR="008101AE" w:rsidRDefault="004C5AA8">
      <w:pPr>
        <w:pBdr>
          <w:top w:val="nil"/>
          <w:left w:val="nil"/>
          <w:bottom w:val="nil"/>
          <w:right w:val="nil"/>
          <w:between w:val="nil"/>
        </w:pBdr>
        <w:ind w:firstLine="425"/>
        <w:jc w:val="both"/>
        <w:rPr>
          <w:color w:val="000000"/>
          <w:sz w:val="22"/>
          <w:szCs w:val="22"/>
        </w:rPr>
      </w:pPr>
      <w:proofErr w:type="gramStart"/>
      <w:r>
        <w:rPr>
          <w:color w:val="000000"/>
          <w:sz w:val="22"/>
          <w:szCs w:val="22"/>
        </w:rPr>
        <w:t>Pajak adalah kontribusi wajib kepada negara yang terutang oleh orang pribadi atau badan yang bersifat memaksa berdasarkan undang-undang, serta tidak mendapatkan imbalan secara langsung.</w:t>
      </w:r>
      <w:proofErr w:type="gramEnd"/>
      <w:r>
        <w:rPr>
          <w:color w:val="000000"/>
          <w:sz w:val="22"/>
          <w:szCs w:val="22"/>
        </w:rPr>
        <w:t xml:space="preserve"> </w:t>
      </w:r>
      <w:proofErr w:type="gramStart"/>
      <w:r>
        <w:rPr>
          <w:color w:val="000000"/>
          <w:sz w:val="22"/>
          <w:szCs w:val="22"/>
        </w:rPr>
        <w:t>Pajak sebagai sumber utama penerimaan negara digunakan untuk membiayai pengeluaran rutin maupun pembangunan oleh karena itu, penerimaan dari sektor pajak ini diharapkan semakin meningkat dari tahun ke tahun.</w:t>
      </w:r>
      <w:proofErr w:type="gramEnd"/>
      <w:r>
        <w:rPr>
          <w:color w:val="000000"/>
          <w:sz w:val="22"/>
          <w:szCs w:val="22"/>
        </w:rPr>
        <w:t xml:space="preserve"> </w:t>
      </w:r>
      <w:proofErr w:type="gramStart"/>
      <w:r>
        <w:rPr>
          <w:color w:val="000000"/>
          <w:sz w:val="22"/>
          <w:szCs w:val="22"/>
        </w:rPr>
        <w:t>Dalam praktik pelaksanaan penerimaan sektor pajak, salah satu pihak yang memberikan kontribusi besar adalah perusahaan.</w:t>
      </w:r>
      <w:proofErr w:type="gramEnd"/>
      <w:r>
        <w:rPr>
          <w:color w:val="000000"/>
          <w:sz w:val="22"/>
          <w:szCs w:val="22"/>
        </w:rPr>
        <w:t xml:space="preserve"> </w:t>
      </w:r>
      <w:proofErr w:type="gramStart"/>
      <w:r>
        <w:rPr>
          <w:color w:val="000000"/>
          <w:sz w:val="22"/>
          <w:szCs w:val="22"/>
        </w:rPr>
        <w:t>Namun, tujuan pemerintah untuk memaksimalkan penerimaan sektor pajak bertentangan dengan tujuan perusahaan sebagai wajib pajak.</w:t>
      </w:r>
      <w:proofErr w:type="gramEnd"/>
      <w:r>
        <w:rPr>
          <w:color w:val="000000"/>
          <w:sz w:val="22"/>
          <w:szCs w:val="22"/>
        </w:rPr>
        <w:t xml:space="preserve"> Bagi perusahaan, pajak dianggap sebagai biaya yang </w:t>
      </w:r>
      <w:proofErr w:type="gramStart"/>
      <w:r>
        <w:rPr>
          <w:color w:val="000000"/>
          <w:sz w:val="22"/>
          <w:szCs w:val="22"/>
        </w:rPr>
        <w:t>akan</w:t>
      </w:r>
      <w:proofErr w:type="gramEnd"/>
      <w:r>
        <w:rPr>
          <w:color w:val="000000"/>
          <w:sz w:val="22"/>
          <w:szCs w:val="22"/>
        </w:rPr>
        <w:t xml:space="preserve"> </w:t>
      </w:r>
      <w:r>
        <w:rPr>
          <w:color w:val="000000"/>
          <w:sz w:val="22"/>
          <w:szCs w:val="22"/>
        </w:rPr>
        <w:lastRenderedPageBreak/>
        <w:t xml:space="preserve">mengurangi keuntungan bagi perusahaan. Hal itu menyebabkan banyak perusahaan yang berusaha mencari </w:t>
      </w:r>
      <w:proofErr w:type="gramStart"/>
      <w:r>
        <w:rPr>
          <w:color w:val="000000"/>
          <w:sz w:val="22"/>
          <w:szCs w:val="22"/>
        </w:rPr>
        <w:t>cara</w:t>
      </w:r>
      <w:proofErr w:type="gramEnd"/>
      <w:r>
        <w:rPr>
          <w:color w:val="000000"/>
          <w:sz w:val="22"/>
          <w:szCs w:val="22"/>
        </w:rPr>
        <w:t xml:space="preserve"> untuk mengurangi biaya pajak yang harus dikeluarkan oleh perusahaan dengan melakukan pengaturan terhadap pajak yang harus dibayar. Frank, Lynch, dan Rego (2009), agresivitas pajak perusahaan adalah suatu tindakan merekayasa pendapatan kena pajak yang dirancang melalui tindakan perencanaan pajak baik menggunakan </w:t>
      </w:r>
      <w:proofErr w:type="gramStart"/>
      <w:r>
        <w:rPr>
          <w:color w:val="000000"/>
          <w:sz w:val="22"/>
          <w:szCs w:val="22"/>
        </w:rPr>
        <w:t>cara</w:t>
      </w:r>
      <w:proofErr w:type="gramEnd"/>
      <w:r>
        <w:rPr>
          <w:color w:val="000000"/>
          <w:sz w:val="22"/>
          <w:szCs w:val="22"/>
        </w:rPr>
        <w:t xml:space="preserve"> yang tergolong secara legal (</w:t>
      </w:r>
      <w:r>
        <w:rPr>
          <w:i/>
          <w:color w:val="000000"/>
          <w:sz w:val="22"/>
          <w:szCs w:val="22"/>
        </w:rPr>
        <w:t>tax avoidance</w:t>
      </w:r>
      <w:r>
        <w:rPr>
          <w:color w:val="000000"/>
          <w:sz w:val="22"/>
          <w:szCs w:val="22"/>
        </w:rPr>
        <w:t>) atau ilegal (</w:t>
      </w:r>
      <w:r>
        <w:rPr>
          <w:i/>
          <w:color w:val="000000"/>
          <w:sz w:val="22"/>
          <w:szCs w:val="22"/>
        </w:rPr>
        <w:t>tax evasion</w:t>
      </w:r>
      <w:r>
        <w:rPr>
          <w:color w:val="000000"/>
          <w:sz w:val="22"/>
          <w:szCs w:val="22"/>
        </w:rPr>
        <w:t xml:space="preserve">). </w:t>
      </w:r>
      <w:proofErr w:type="gramStart"/>
      <w:r>
        <w:rPr>
          <w:color w:val="000000"/>
          <w:sz w:val="22"/>
          <w:szCs w:val="22"/>
        </w:rPr>
        <w:t>Semakin besar penghematan pajak yang dilakukan oleh perusahaan, maka perusahaan tersebut dianggap semakin agresif terhadap pajak.</w:t>
      </w:r>
      <w:proofErr w:type="gramEnd"/>
      <w:r>
        <w:rPr>
          <w:color w:val="000000"/>
          <w:sz w:val="22"/>
          <w:szCs w:val="22"/>
        </w:rPr>
        <w:t xml:space="preserve"> </w:t>
      </w:r>
      <w:proofErr w:type="gramStart"/>
      <w:r>
        <w:rPr>
          <w:color w:val="000000"/>
          <w:sz w:val="22"/>
          <w:szCs w:val="22"/>
        </w:rPr>
        <w:t>Agresivitas pajak merupakan salah satu indikator yang dapat digunakan untuk melihat usaha penghindaran pajak oleh wajib pajak.</w:t>
      </w:r>
      <w:proofErr w:type="gramEnd"/>
      <w:r>
        <w:rPr>
          <w:color w:val="000000"/>
          <w:sz w:val="22"/>
          <w:szCs w:val="22"/>
        </w:rPr>
        <w:t xml:space="preserve"> Menurut Frank et al</w:t>
      </w:r>
      <w:proofErr w:type="gramStart"/>
      <w:r>
        <w:rPr>
          <w:color w:val="000000"/>
          <w:sz w:val="22"/>
          <w:szCs w:val="22"/>
        </w:rPr>
        <w:t>.(</w:t>
      </w:r>
      <w:proofErr w:type="gramEnd"/>
      <w:r>
        <w:rPr>
          <w:color w:val="000000"/>
          <w:sz w:val="22"/>
          <w:szCs w:val="22"/>
        </w:rPr>
        <w:t xml:space="preserve">2009), agresivitas pajak dapat dilakukan melalui mekanisme yang digolongkan </w:t>
      </w:r>
      <w:r>
        <w:rPr>
          <w:i/>
          <w:color w:val="000000"/>
          <w:sz w:val="22"/>
          <w:szCs w:val="22"/>
        </w:rPr>
        <w:t>tax evasion</w:t>
      </w:r>
      <w:r>
        <w:rPr>
          <w:color w:val="000000"/>
          <w:sz w:val="22"/>
          <w:szCs w:val="22"/>
        </w:rPr>
        <w:t xml:space="preserve"> atau </w:t>
      </w:r>
      <w:r>
        <w:rPr>
          <w:i/>
          <w:color w:val="000000"/>
          <w:sz w:val="22"/>
          <w:szCs w:val="22"/>
        </w:rPr>
        <w:t>tax avoidance</w:t>
      </w:r>
      <w:r>
        <w:rPr>
          <w:color w:val="000000"/>
          <w:sz w:val="22"/>
          <w:szCs w:val="22"/>
        </w:rPr>
        <w:t xml:space="preserve">. </w:t>
      </w:r>
      <w:proofErr w:type="gramStart"/>
      <w:r>
        <w:rPr>
          <w:color w:val="000000"/>
          <w:sz w:val="22"/>
          <w:szCs w:val="22"/>
        </w:rPr>
        <w:t>Ada fenomena terkait kasus agresivitas pajak.</w:t>
      </w:r>
      <w:proofErr w:type="gramEnd"/>
    </w:p>
    <w:p w:rsidR="00625B6E" w:rsidRDefault="004C5AA8">
      <w:pPr>
        <w:tabs>
          <w:tab w:val="left" w:pos="709"/>
        </w:tabs>
        <w:ind w:hanging="426"/>
        <w:jc w:val="both"/>
        <w:rPr>
          <w:sz w:val="22"/>
          <w:szCs w:val="22"/>
        </w:rPr>
      </w:pPr>
      <w:r>
        <w:rPr>
          <w:sz w:val="22"/>
          <w:szCs w:val="22"/>
        </w:rPr>
        <w:tab/>
      </w:r>
      <w:r>
        <w:rPr>
          <w:sz w:val="22"/>
          <w:szCs w:val="22"/>
        </w:rPr>
        <w:tab/>
        <w:t xml:space="preserve">Salah satu sektor yang sangat berpotensi dan kerap melakukan tindakan penghindaran pajak adalah sektor pertambangan merupakan sektor usaha yang bergerak pada usaha penggalian, pengambilan dari endapan bahan-bahan galian yang berharga serta bernilai ekonomis berasal dari dalam kulit bumi, secara mekanis ataupun manual, di permukaan bumi, bawah permukaan bumi serta air. Pada tahun 2009 terdapat kasus yang terjadi pada perusahaan tambang besar seperti BUMI Resources, Kaltim Coal (KPC), dan Arutmin diindikasi melakukan tindakan praktik penghindaran pajak dengan jumlah Rp.2,176 Triliun, dengan rincian KPC sebagai penghindar pajak terbesar yakni Rp. 1,5 Triliun, kemudian BUMI Resources dengan total Rp. 376 Miliyar, dan Arutmin senilai Rp. 300 Miliyar. </w:t>
      </w:r>
    </w:p>
    <w:p w:rsidR="00625B6E" w:rsidRDefault="004C5AA8" w:rsidP="00625B6E">
      <w:pPr>
        <w:tabs>
          <w:tab w:val="left" w:pos="709"/>
        </w:tabs>
        <w:ind w:firstLine="709"/>
        <w:jc w:val="both"/>
        <w:rPr>
          <w:sz w:val="22"/>
          <w:szCs w:val="22"/>
        </w:rPr>
      </w:pPr>
      <w:proofErr w:type="gramStart"/>
      <w:r>
        <w:rPr>
          <w:sz w:val="22"/>
          <w:szCs w:val="22"/>
        </w:rPr>
        <w:t>Kasus agresivitas pajak tersebut dapat memengaruhi nilai dari suatu perusahaan.</w:t>
      </w:r>
      <w:proofErr w:type="gramEnd"/>
      <w:r>
        <w:rPr>
          <w:sz w:val="22"/>
          <w:szCs w:val="22"/>
        </w:rPr>
        <w:t xml:space="preserve"> Apabila terdapat berita di publik mengenai adanya kasus agresivitas pajak dilakukan oleh perusahaan maka hal tersebut cepat atau lambat </w:t>
      </w:r>
      <w:proofErr w:type="gramStart"/>
      <w:r>
        <w:rPr>
          <w:sz w:val="22"/>
          <w:szCs w:val="22"/>
        </w:rPr>
        <w:t>akan</w:t>
      </w:r>
      <w:proofErr w:type="gramEnd"/>
      <w:r>
        <w:rPr>
          <w:sz w:val="22"/>
          <w:szCs w:val="22"/>
        </w:rPr>
        <w:t xml:space="preserve"> memengaruhi nilai perusahaan terutama harga saham perusahaan di pasar (Andhari dan Sukharta, 2017). </w:t>
      </w:r>
      <w:proofErr w:type="gramStart"/>
      <w:r>
        <w:rPr>
          <w:sz w:val="22"/>
          <w:szCs w:val="22"/>
        </w:rPr>
        <w:t>Kementerian Keuangan Repulik Indonesia.</w:t>
      </w:r>
      <w:proofErr w:type="gramEnd"/>
      <w:r>
        <w:rPr>
          <w:sz w:val="22"/>
          <w:szCs w:val="22"/>
        </w:rPr>
        <w:t xml:space="preserve"> </w:t>
      </w:r>
      <w:proofErr w:type="gramStart"/>
      <w:r>
        <w:rPr>
          <w:sz w:val="22"/>
          <w:szCs w:val="22"/>
        </w:rPr>
        <w:t>Pada tahun 2015 misalnya, pengusaha minerba yang melaporkan Surat Pemberitahuan (SPT) Tahunan tercatat sebanyak 2.557, sedangkan yang tidak melaporkan mencapai 3.624.</w:t>
      </w:r>
      <w:proofErr w:type="gramEnd"/>
      <w:r>
        <w:rPr>
          <w:sz w:val="22"/>
          <w:szCs w:val="22"/>
        </w:rPr>
        <w:t xml:space="preserve"> menunjukkan, dari total 6.001 wajib pajak mineral dan batubara, hanya 967 wajib pajak yang menjadi peserta program Amnesti Pajak dengan uang tebusan paling rendah yang dibayarkan oleh wajib pajak minerba tercatat sebesar Rp5 ribu, dan tertinggi Rp96,3 miliar. Wajib pajak pertambangan minyak dan gas bumi, totalnya 1.114 wajib pajak, hanya 68 yang menjadi peserta Amnesti Pajak dengan uang tebusan paling rendah yang dibayarkan oleh wajib pajak minerba tercatat sebesar Rp150 ribu, dan tertinggi Rp17,4 miliar (Kemenkeu.go.id, 2016). </w:t>
      </w:r>
    </w:p>
    <w:p w:rsidR="00625B6E" w:rsidRDefault="00625B6E" w:rsidP="00625B6E">
      <w:pPr>
        <w:ind w:firstLine="709"/>
        <w:jc w:val="both"/>
        <w:rPr>
          <w:sz w:val="22"/>
          <w:szCs w:val="22"/>
        </w:rPr>
      </w:pPr>
      <w:r>
        <w:rPr>
          <w:sz w:val="22"/>
          <w:szCs w:val="22"/>
        </w:rPr>
        <w:tab/>
      </w:r>
      <w:proofErr w:type="gramStart"/>
      <w:r w:rsidR="004C5AA8">
        <w:rPr>
          <w:sz w:val="22"/>
          <w:szCs w:val="22"/>
        </w:rPr>
        <w:t>Dilihat dari besarnya peluang perusahaan melakukan penghindaran pajak baik secara legal maupun ilegal atau yang biasa disebut dengan tindakan pajak agresif, maka diperlukan tata kelola untuk mengurangi tindakan pajak agresif tersebut.</w:t>
      </w:r>
      <w:proofErr w:type="gramEnd"/>
      <w:r w:rsidR="004C5AA8">
        <w:rPr>
          <w:sz w:val="22"/>
          <w:szCs w:val="22"/>
        </w:rPr>
        <w:t xml:space="preserve"> </w:t>
      </w:r>
      <w:proofErr w:type="gramStart"/>
      <w:r w:rsidR="004C5AA8">
        <w:rPr>
          <w:sz w:val="22"/>
          <w:szCs w:val="22"/>
        </w:rPr>
        <w:t xml:space="preserve">Untuk mengelola tata kelola perusahaan yang baik, perusahaan melakukan konsep </w:t>
      </w:r>
      <w:r w:rsidR="004C5AA8">
        <w:rPr>
          <w:i/>
          <w:sz w:val="22"/>
          <w:szCs w:val="22"/>
        </w:rPr>
        <w:t>corporate governance</w:t>
      </w:r>
      <w:r w:rsidR="004C5AA8">
        <w:rPr>
          <w:sz w:val="22"/>
          <w:szCs w:val="22"/>
        </w:rPr>
        <w:t>.</w:t>
      </w:r>
      <w:proofErr w:type="gramEnd"/>
      <w:r w:rsidR="004C5AA8">
        <w:rPr>
          <w:sz w:val="22"/>
          <w:szCs w:val="22"/>
        </w:rPr>
        <w:t xml:space="preserve"> </w:t>
      </w:r>
      <w:r w:rsidR="004C5AA8">
        <w:rPr>
          <w:i/>
          <w:sz w:val="22"/>
          <w:szCs w:val="22"/>
        </w:rPr>
        <w:t>Corporate Governance</w:t>
      </w:r>
      <w:r w:rsidR="004C5AA8">
        <w:rPr>
          <w:sz w:val="22"/>
          <w:szCs w:val="22"/>
        </w:rPr>
        <w:t xml:space="preserve"> dapat didefinisikan sebagai suatu proses dan struktur yang digunakan Komisaris/Dewan Pengawas dan Direksi) untuk meningkatkan keberhasilan usaha dan akuntabilitas perusahaan guna mewujudkan nilai pemegang saham dalam jangka panjang dengan tetap memperhatikan kepentingan </w:t>
      </w:r>
      <w:r w:rsidR="004C5AA8">
        <w:rPr>
          <w:i/>
          <w:sz w:val="22"/>
          <w:szCs w:val="22"/>
        </w:rPr>
        <w:t>stakeholder</w:t>
      </w:r>
      <w:r w:rsidR="004C5AA8">
        <w:rPr>
          <w:sz w:val="22"/>
          <w:szCs w:val="22"/>
        </w:rPr>
        <w:t xml:space="preserve"> lainnya, berlandaskan peraturan perundang-undangan dan nilai-nilai etika (Seprini, 2016). </w:t>
      </w:r>
    </w:p>
    <w:p w:rsidR="008101AE" w:rsidRDefault="004C5AA8" w:rsidP="00625B6E">
      <w:pPr>
        <w:ind w:firstLine="709"/>
        <w:jc w:val="both"/>
        <w:rPr>
          <w:sz w:val="22"/>
          <w:szCs w:val="22"/>
        </w:rPr>
      </w:pPr>
      <w:proofErr w:type="gramStart"/>
      <w:r>
        <w:rPr>
          <w:sz w:val="22"/>
          <w:szCs w:val="22"/>
        </w:rPr>
        <w:t xml:space="preserve">Dalam penelitian ini, pengaruh </w:t>
      </w:r>
      <w:r>
        <w:rPr>
          <w:i/>
          <w:sz w:val="22"/>
          <w:szCs w:val="22"/>
        </w:rPr>
        <w:t xml:space="preserve">corporate governance </w:t>
      </w:r>
      <w:r>
        <w:rPr>
          <w:sz w:val="22"/>
          <w:szCs w:val="22"/>
        </w:rPr>
        <w:t>diproksikan dengan komisaris independen, komite audit, dan kepemilikan institusional.</w:t>
      </w:r>
      <w:proofErr w:type="gramEnd"/>
      <w:r>
        <w:rPr>
          <w:sz w:val="22"/>
          <w:szCs w:val="22"/>
        </w:rPr>
        <w:t xml:space="preserve"> </w:t>
      </w:r>
      <w:proofErr w:type="gramStart"/>
      <w:r>
        <w:rPr>
          <w:sz w:val="22"/>
          <w:szCs w:val="22"/>
        </w:rPr>
        <w:t>Untuk menyelesaikan masalah keagenan ini dibutuhkan suatu tata kelola perusahaan yang baik (</w:t>
      </w:r>
      <w:r>
        <w:rPr>
          <w:i/>
          <w:sz w:val="22"/>
          <w:szCs w:val="22"/>
        </w:rPr>
        <w:t>good corporate governance</w:t>
      </w:r>
      <w:r>
        <w:rPr>
          <w:sz w:val="22"/>
          <w:szCs w:val="22"/>
        </w:rPr>
        <w:t>).</w:t>
      </w:r>
      <w:proofErr w:type="gramEnd"/>
      <w:r>
        <w:rPr>
          <w:sz w:val="22"/>
          <w:szCs w:val="22"/>
        </w:rPr>
        <w:t xml:space="preserve"> </w:t>
      </w:r>
      <w:proofErr w:type="gramStart"/>
      <w:r>
        <w:rPr>
          <w:sz w:val="22"/>
          <w:szCs w:val="22"/>
        </w:rPr>
        <w:t xml:space="preserve">Untuk mencapai tata kelola perusahaan yang baik, maka perusahaan harus menciptakan mekanisme </w:t>
      </w:r>
      <w:r>
        <w:rPr>
          <w:i/>
          <w:sz w:val="22"/>
          <w:szCs w:val="22"/>
        </w:rPr>
        <w:t>corporate governance.</w:t>
      </w:r>
      <w:proofErr w:type="gramEnd"/>
      <w:r>
        <w:rPr>
          <w:sz w:val="22"/>
          <w:szCs w:val="22"/>
        </w:rPr>
        <w:t xml:space="preserve"> </w:t>
      </w:r>
      <w:proofErr w:type="gramStart"/>
      <w:r>
        <w:rPr>
          <w:sz w:val="22"/>
          <w:szCs w:val="22"/>
        </w:rPr>
        <w:t xml:space="preserve">Adapun mekanisme </w:t>
      </w:r>
      <w:r>
        <w:rPr>
          <w:i/>
          <w:sz w:val="22"/>
          <w:szCs w:val="22"/>
        </w:rPr>
        <w:t>corporate governance</w:t>
      </w:r>
      <w:r>
        <w:rPr>
          <w:sz w:val="22"/>
          <w:szCs w:val="22"/>
        </w:rPr>
        <w:t xml:space="preserve"> tersebut dapat tercapai melalui proporsi komisaris independen.</w:t>
      </w:r>
      <w:proofErr w:type="gramEnd"/>
      <w:r>
        <w:rPr>
          <w:sz w:val="22"/>
          <w:szCs w:val="22"/>
        </w:rPr>
        <w:t xml:space="preserve"> </w:t>
      </w:r>
      <w:proofErr w:type="gramStart"/>
      <w:r>
        <w:rPr>
          <w:sz w:val="22"/>
          <w:szCs w:val="22"/>
        </w:rPr>
        <w:t>Dewan komisaris memainkan peranan penting untuk memonitor kinerja direksi dalam menjalankan perusahaan dan dalam memberikan nasihat atas kebijakan yang diterapkan oleh manajemen.</w:t>
      </w:r>
      <w:proofErr w:type="gramEnd"/>
      <w:r>
        <w:rPr>
          <w:sz w:val="22"/>
          <w:szCs w:val="22"/>
        </w:rPr>
        <w:t xml:space="preserve"> Semakin banyak jumlah komisaris independen maka </w:t>
      </w:r>
      <w:r>
        <w:rPr>
          <w:sz w:val="22"/>
          <w:szCs w:val="22"/>
        </w:rPr>
        <w:lastRenderedPageBreak/>
        <w:t xml:space="preserve">pengawasan terhadap agen </w:t>
      </w:r>
      <w:proofErr w:type="gramStart"/>
      <w:r>
        <w:rPr>
          <w:sz w:val="22"/>
          <w:szCs w:val="22"/>
        </w:rPr>
        <w:t>akan</w:t>
      </w:r>
      <w:proofErr w:type="gramEnd"/>
      <w:r>
        <w:rPr>
          <w:sz w:val="22"/>
          <w:szCs w:val="22"/>
        </w:rPr>
        <w:t xml:space="preserve"> semakin ketat. Dengan adanya kontrol yang ketat yang dilakukan oleh komisaris diprediksi agresivitas pajak perusahaan yang dilakukan oleh agen </w:t>
      </w:r>
      <w:proofErr w:type="gramStart"/>
      <w:r>
        <w:rPr>
          <w:sz w:val="22"/>
          <w:szCs w:val="22"/>
        </w:rPr>
        <w:t>akan</w:t>
      </w:r>
      <w:proofErr w:type="gramEnd"/>
      <w:r>
        <w:rPr>
          <w:sz w:val="22"/>
          <w:szCs w:val="22"/>
        </w:rPr>
        <w:t xml:space="preserve"> semakin berkurang (Imam, 2016).</w:t>
      </w:r>
    </w:p>
    <w:p w:rsidR="008101AE" w:rsidRDefault="004C5AA8">
      <w:pPr>
        <w:ind w:firstLine="709"/>
        <w:jc w:val="both"/>
        <w:rPr>
          <w:sz w:val="22"/>
          <w:szCs w:val="22"/>
        </w:rPr>
      </w:pPr>
      <w:r>
        <w:rPr>
          <w:sz w:val="22"/>
          <w:szCs w:val="22"/>
        </w:rPr>
        <w:t xml:space="preserve">Faktor </w:t>
      </w:r>
      <w:proofErr w:type="gramStart"/>
      <w:r>
        <w:rPr>
          <w:sz w:val="22"/>
          <w:szCs w:val="22"/>
        </w:rPr>
        <w:t>lain</w:t>
      </w:r>
      <w:proofErr w:type="gramEnd"/>
      <w:r>
        <w:rPr>
          <w:sz w:val="22"/>
          <w:szCs w:val="22"/>
        </w:rPr>
        <w:t xml:space="preserve"> yang diprediksi dapat mempengaruhi agresivitas pajak perusahaan adalah komite audit. Komite audit berdasarkan fungsinya tersebut membantu dewan komisaris agar tidak terjadi asimetri informasi melakukan pengawasan serta memberikan rekomendasi kepada para manajemen dan dewan komisaris terhadap pengendalian yang telah berjalan. </w:t>
      </w:r>
      <w:r>
        <w:rPr>
          <w:sz w:val="22"/>
          <w:szCs w:val="22"/>
        </w:rPr>
        <w:tab/>
      </w:r>
    </w:p>
    <w:p w:rsidR="008101AE" w:rsidRDefault="004C5AA8">
      <w:pPr>
        <w:pBdr>
          <w:top w:val="nil"/>
          <w:left w:val="nil"/>
          <w:bottom w:val="nil"/>
          <w:right w:val="nil"/>
          <w:between w:val="nil"/>
        </w:pBdr>
        <w:ind w:firstLine="425"/>
        <w:jc w:val="both"/>
        <w:rPr>
          <w:color w:val="000000"/>
          <w:sz w:val="22"/>
          <w:szCs w:val="22"/>
        </w:rPr>
      </w:pPr>
      <w:r>
        <w:rPr>
          <w:color w:val="000000"/>
          <w:sz w:val="22"/>
          <w:szCs w:val="22"/>
        </w:rPr>
        <w:t>Dengan semakin banyaknya pengawasan yang dilakukan terhadap suatu manajemen perusahaan maka akan menghasilkan suatu informasi yang berkualitas dan kinerja yang efektif (Wulansari</w:t>
      </w:r>
      <w:proofErr w:type="gramStart"/>
      <w:r>
        <w:rPr>
          <w:color w:val="000000"/>
          <w:sz w:val="22"/>
          <w:szCs w:val="22"/>
        </w:rPr>
        <w:t>,2015</w:t>
      </w:r>
      <w:proofErr w:type="gramEnd"/>
      <w:r>
        <w:rPr>
          <w:color w:val="000000"/>
          <w:sz w:val="22"/>
          <w:szCs w:val="22"/>
        </w:rPr>
        <w:t xml:space="preserve">). </w:t>
      </w:r>
    </w:p>
    <w:p w:rsidR="008101AE" w:rsidRDefault="004C5AA8">
      <w:pPr>
        <w:ind w:firstLine="709"/>
        <w:jc w:val="both"/>
        <w:rPr>
          <w:sz w:val="22"/>
          <w:szCs w:val="22"/>
        </w:rPr>
      </w:pPr>
      <w:proofErr w:type="gramStart"/>
      <w:r>
        <w:rPr>
          <w:sz w:val="22"/>
          <w:szCs w:val="22"/>
        </w:rPr>
        <w:t>Kepemilikan Insitutsional adalah kepemilikan saham oleh perusahaan, lembaga, bank, dan lain sebagainya.</w:t>
      </w:r>
      <w:proofErr w:type="gramEnd"/>
      <w:r>
        <w:rPr>
          <w:sz w:val="22"/>
          <w:szCs w:val="22"/>
        </w:rPr>
        <w:t xml:space="preserve"> </w:t>
      </w:r>
      <w:proofErr w:type="gramStart"/>
      <w:r>
        <w:rPr>
          <w:sz w:val="22"/>
          <w:szCs w:val="22"/>
        </w:rPr>
        <w:t>Perusahaan dengan kepemilikan institusional yang tinggi cenderung lebih bertindak agresif terhadap pajaknya dan menghindari peluang bertindak mementingkan sendiri (Novitasari, 2017).</w:t>
      </w:r>
      <w:proofErr w:type="gramEnd"/>
      <w:r>
        <w:rPr>
          <w:sz w:val="22"/>
          <w:szCs w:val="22"/>
        </w:rPr>
        <w:t xml:space="preserve"> Prasetyo dan Pramuka (2018) menjelaskan bahwa aktivitas pemegang saham yang lebih besar dari pemilik institusi membantu meningkatkan efek penghindaran pajak demi kepentingan pemegang saham dimana para pemegang saham yang lebih besar dari para pemegang saham institusi </w:t>
      </w:r>
      <w:proofErr w:type="gramStart"/>
      <w:r>
        <w:rPr>
          <w:sz w:val="22"/>
          <w:szCs w:val="22"/>
        </w:rPr>
        <w:t>akan</w:t>
      </w:r>
      <w:proofErr w:type="gramEnd"/>
      <w:r>
        <w:rPr>
          <w:sz w:val="22"/>
          <w:szCs w:val="22"/>
        </w:rPr>
        <w:t xml:space="preserve"> melakukan intervensi terhadap manajemen yang bertujuan untuk meminimalisir jumlah pajak perusahaan dan meningkatkan kekayaan mereka sendiri. </w:t>
      </w:r>
      <w:proofErr w:type="gramStart"/>
      <w:r>
        <w:rPr>
          <w:sz w:val="22"/>
          <w:szCs w:val="22"/>
        </w:rPr>
        <w:t xml:space="preserve">Selain menggunakan indikator </w:t>
      </w:r>
      <w:r>
        <w:rPr>
          <w:i/>
          <w:sz w:val="22"/>
          <w:szCs w:val="22"/>
        </w:rPr>
        <w:t xml:space="preserve">corporate governance, </w:t>
      </w:r>
      <w:r>
        <w:rPr>
          <w:sz w:val="22"/>
          <w:szCs w:val="22"/>
        </w:rPr>
        <w:t>penulis menggunakan pengungkapan</w:t>
      </w:r>
      <w:r>
        <w:rPr>
          <w:i/>
          <w:sz w:val="22"/>
          <w:szCs w:val="22"/>
        </w:rPr>
        <w:t xml:space="preserve"> Corporate Social Responsibility</w:t>
      </w:r>
      <w:r>
        <w:rPr>
          <w:sz w:val="22"/>
          <w:szCs w:val="22"/>
        </w:rPr>
        <w:t xml:space="preserve"> untuk mengukur tindakan pajak agresif perusahaan.</w:t>
      </w:r>
      <w:proofErr w:type="gramEnd"/>
      <w:r>
        <w:rPr>
          <w:sz w:val="22"/>
          <w:szCs w:val="22"/>
        </w:rPr>
        <w:t xml:space="preserve"> </w:t>
      </w:r>
    </w:p>
    <w:p w:rsidR="008101AE" w:rsidRDefault="004C5AA8">
      <w:pPr>
        <w:ind w:firstLine="709"/>
        <w:jc w:val="both"/>
        <w:rPr>
          <w:sz w:val="22"/>
          <w:szCs w:val="22"/>
        </w:rPr>
      </w:pPr>
      <w:r>
        <w:rPr>
          <w:sz w:val="22"/>
          <w:szCs w:val="22"/>
        </w:rPr>
        <w:t>Merujuk kepada Pasal 74 ayat 1 Undang-Undang Nomor 40 tahun 2007 tentang Perseroan Terbatas: “Perseroan menjalankan kegiatan usahanya bidang dan/atau berkaitan dengan sumber daya alam wajib melaksanakan Tanggung Jawab Sosial dan Lingkungan”.</w:t>
      </w:r>
    </w:p>
    <w:p w:rsidR="008101AE" w:rsidRDefault="004C5AA8">
      <w:pPr>
        <w:ind w:firstLine="709"/>
        <w:jc w:val="both"/>
        <w:rPr>
          <w:sz w:val="22"/>
          <w:szCs w:val="22"/>
        </w:rPr>
      </w:pPr>
      <w:r>
        <w:rPr>
          <w:sz w:val="22"/>
          <w:szCs w:val="22"/>
        </w:rPr>
        <w:t xml:space="preserve">Kaitan pengungkapan CSR dengan agresivitas pajak terletak pada tujuan utama perusahaan untuk memperoleh profit </w:t>
      </w:r>
      <w:r>
        <w:rPr>
          <w:i/>
          <w:sz w:val="22"/>
          <w:szCs w:val="22"/>
        </w:rPr>
        <w:t>maximum</w:t>
      </w:r>
      <w:r>
        <w:rPr>
          <w:sz w:val="22"/>
          <w:szCs w:val="22"/>
        </w:rPr>
        <w:t xml:space="preserve"> tanpa menghilangkan tanggung jawab sosial dan lingkungan. </w:t>
      </w:r>
      <w:proofErr w:type="gramStart"/>
      <w:r>
        <w:rPr>
          <w:sz w:val="22"/>
          <w:szCs w:val="22"/>
        </w:rPr>
        <w:t>Adrianto dan Fadjar (2017) menyatakan bahwa tingkat CSR yang rendah dianggap sebagai perusahaan yang tidak bertanggung jawab secara sosial sehingga mampu melakukan strategi pajak yang lebih agresif dibanding perusahaan dengan tingkat CSR yang tinggi.</w:t>
      </w:r>
      <w:proofErr w:type="gramEnd"/>
      <w:r>
        <w:rPr>
          <w:sz w:val="22"/>
          <w:szCs w:val="22"/>
        </w:rPr>
        <w:t xml:space="preserve"> </w:t>
      </w:r>
      <w:proofErr w:type="gramStart"/>
      <w:r>
        <w:rPr>
          <w:sz w:val="22"/>
          <w:szCs w:val="22"/>
        </w:rPr>
        <w:t>Banyak hal yang dapat dilakukan perusahaan untuk sebisa mungkin mengurangi pajak terutang.</w:t>
      </w:r>
      <w:proofErr w:type="gramEnd"/>
      <w:r>
        <w:rPr>
          <w:sz w:val="22"/>
          <w:szCs w:val="22"/>
        </w:rPr>
        <w:t xml:space="preserve"> </w:t>
      </w:r>
    </w:p>
    <w:p w:rsidR="008101AE" w:rsidRDefault="008101AE">
      <w:pPr>
        <w:pBdr>
          <w:top w:val="nil"/>
          <w:left w:val="nil"/>
          <w:bottom w:val="nil"/>
          <w:right w:val="nil"/>
          <w:between w:val="nil"/>
        </w:pBdr>
        <w:ind w:firstLine="425"/>
        <w:jc w:val="both"/>
        <w:rPr>
          <w:color w:val="000000"/>
          <w:sz w:val="22"/>
          <w:szCs w:val="22"/>
        </w:rPr>
      </w:pPr>
    </w:p>
    <w:p w:rsidR="008101AE" w:rsidRDefault="006228B0">
      <w:pPr>
        <w:rPr>
          <w:sz w:val="22"/>
          <w:szCs w:val="22"/>
        </w:rPr>
      </w:pPr>
      <w:r>
        <w:rPr>
          <w:b/>
          <w:sz w:val="22"/>
          <w:szCs w:val="22"/>
        </w:rPr>
        <w:t>TINJAUAN PUSTAKA</w:t>
      </w:r>
    </w:p>
    <w:p w:rsidR="008101AE" w:rsidRDefault="008101AE">
      <w:pPr>
        <w:rPr>
          <w:sz w:val="22"/>
          <w:szCs w:val="22"/>
        </w:rPr>
      </w:pPr>
    </w:p>
    <w:p w:rsidR="008101AE" w:rsidRDefault="004C5AA8">
      <w:pPr>
        <w:rPr>
          <w:sz w:val="22"/>
          <w:szCs w:val="22"/>
        </w:rPr>
      </w:pPr>
      <w:r>
        <w:rPr>
          <w:b/>
          <w:sz w:val="22"/>
          <w:szCs w:val="22"/>
        </w:rPr>
        <w:t>Teori Keagenan</w:t>
      </w:r>
    </w:p>
    <w:p w:rsidR="008101AE" w:rsidRDefault="004C5AA8">
      <w:pPr>
        <w:spacing w:after="200"/>
        <w:ind w:firstLine="720"/>
        <w:jc w:val="both"/>
        <w:rPr>
          <w:sz w:val="22"/>
          <w:szCs w:val="22"/>
        </w:rPr>
      </w:pPr>
      <w:proofErr w:type="gramStart"/>
      <w:r>
        <w:rPr>
          <w:sz w:val="22"/>
          <w:szCs w:val="22"/>
        </w:rPr>
        <w:t xml:space="preserve">Agresivitas pajak pada penelitian ini salah satunya dipengaruhi oleh </w:t>
      </w:r>
      <w:r>
        <w:rPr>
          <w:i/>
          <w:sz w:val="22"/>
          <w:szCs w:val="22"/>
        </w:rPr>
        <w:t>corporate governance</w:t>
      </w:r>
      <w:r>
        <w:rPr>
          <w:sz w:val="22"/>
          <w:szCs w:val="22"/>
        </w:rPr>
        <w:t xml:space="preserve"> yang mana teori utamanya yaitu teori keagenan.</w:t>
      </w:r>
      <w:proofErr w:type="gramEnd"/>
      <w:r>
        <w:rPr>
          <w:sz w:val="22"/>
          <w:szCs w:val="22"/>
        </w:rPr>
        <w:t xml:space="preserve"> </w:t>
      </w:r>
      <w:proofErr w:type="gramStart"/>
      <w:r>
        <w:rPr>
          <w:sz w:val="22"/>
          <w:szCs w:val="22"/>
        </w:rPr>
        <w:t>Teori keagenan pertama kali dikenal setelah Jensen dan Meckling pada tahun 1976 mempublikasikan hasil penelitian tentang perilaku manajerial, biaya keagenan, dan struktur kepemilikan.</w:t>
      </w:r>
      <w:proofErr w:type="gramEnd"/>
      <w:r>
        <w:rPr>
          <w:sz w:val="22"/>
          <w:szCs w:val="22"/>
        </w:rPr>
        <w:t xml:space="preserve"> </w:t>
      </w:r>
      <w:proofErr w:type="gramStart"/>
      <w:r>
        <w:rPr>
          <w:sz w:val="22"/>
          <w:szCs w:val="22"/>
        </w:rPr>
        <w:t>Teori agensi merupakan teori yang menjelaskan hubungan antara manajemen (</w:t>
      </w:r>
      <w:r>
        <w:rPr>
          <w:i/>
          <w:sz w:val="22"/>
          <w:szCs w:val="22"/>
        </w:rPr>
        <w:t>agent</w:t>
      </w:r>
      <w:r>
        <w:rPr>
          <w:sz w:val="22"/>
          <w:szCs w:val="22"/>
        </w:rPr>
        <w:t>) dan pemegang saham (</w:t>
      </w:r>
      <w:r>
        <w:rPr>
          <w:i/>
          <w:sz w:val="22"/>
          <w:szCs w:val="22"/>
        </w:rPr>
        <w:t>principal</w:t>
      </w:r>
      <w:r>
        <w:rPr>
          <w:sz w:val="22"/>
          <w:szCs w:val="22"/>
        </w:rPr>
        <w:t>), dimana pemegang saham menunjuk dan membayar manajemen untuk mengelola perusahaan.</w:t>
      </w:r>
      <w:proofErr w:type="gramEnd"/>
      <w:r>
        <w:rPr>
          <w:sz w:val="22"/>
          <w:szCs w:val="22"/>
        </w:rPr>
        <w:t xml:space="preserve"> </w:t>
      </w:r>
      <w:proofErr w:type="gramStart"/>
      <w:r>
        <w:rPr>
          <w:sz w:val="22"/>
          <w:szCs w:val="22"/>
        </w:rPr>
        <w:t>Konflik agensi muncul ketika pengelola perusahaan mengambil keuntungan untuk memaksimalkan keuntungannya.</w:t>
      </w:r>
      <w:proofErr w:type="gramEnd"/>
      <w:r>
        <w:rPr>
          <w:sz w:val="22"/>
          <w:szCs w:val="22"/>
        </w:rPr>
        <w:t xml:space="preserve"> </w:t>
      </w:r>
      <w:proofErr w:type="gramStart"/>
      <w:r>
        <w:rPr>
          <w:sz w:val="22"/>
          <w:szCs w:val="22"/>
        </w:rPr>
        <w:t>Hal ini dapat terjadi karena pengelola perusahaan lebih banyak mengetahui kondisi perusahaan dan informasi internal dibanding pemilik perusahaan (Gunawan, 2017).</w:t>
      </w:r>
      <w:proofErr w:type="gramEnd"/>
    </w:p>
    <w:p w:rsidR="008101AE" w:rsidRDefault="004C5AA8">
      <w:pPr>
        <w:rPr>
          <w:sz w:val="22"/>
          <w:szCs w:val="22"/>
        </w:rPr>
      </w:pPr>
      <w:r>
        <w:rPr>
          <w:b/>
          <w:sz w:val="22"/>
          <w:szCs w:val="22"/>
        </w:rPr>
        <w:t>Teori Legitimasi</w:t>
      </w:r>
    </w:p>
    <w:p w:rsidR="008101AE" w:rsidRDefault="004C5AA8">
      <w:pPr>
        <w:ind w:firstLine="425"/>
        <w:jc w:val="both"/>
        <w:rPr>
          <w:sz w:val="22"/>
          <w:szCs w:val="22"/>
        </w:rPr>
      </w:pPr>
      <w:proofErr w:type="gramStart"/>
      <w:r>
        <w:rPr>
          <w:sz w:val="22"/>
          <w:szCs w:val="22"/>
        </w:rPr>
        <w:t>Legitimasi masyarakat adalah strategi yang dilakukan manajemen untuk mengembangkan perusahaan dalam menumbuhkan kepercayaan publik.</w:t>
      </w:r>
      <w:proofErr w:type="gramEnd"/>
      <w:r>
        <w:rPr>
          <w:sz w:val="22"/>
          <w:szCs w:val="22"/>
        </w:rPr>
        <w:t xml:space="preserve"> </w:t>
      </w:r>
      <w:proofErr w:type="gramStart"/>
      <w:r>
        <w:rPr>
          <w:sz w:val="22"/>
          <w:szCs w:val="22"/>
        </w:rPr>
        <w:t>Teori ini menjelaskan adanya kontak sosial antara perusahaan dengan dan pengungkapan sosial lingkungan (Lanis dan Richardson, 2012).</w:t>
      </w:r>
      <w:proofErr w:type="gramEnd"/>
      <w:r>
        <w:rPr>
          <w:sz w:val="22"/>
          <w:szCs w:val="22"/>
        </w:rPr>
        <w:t xml:space="preserve"> </w:t>
      </w:r>
      <w:proofErr w:type="gramStart"/>
      <w:r>
        <w:rPr>
          <w:sz w:val="22"/>
          <w:szCs w:val="22"/>
        </w:rPr>
        <w:t xml:space="preserve">Legitimasi merupakan hal yang sangat diinginkan oleh perusahaan dengan memperolehnya maka </w:t>
      </w:r>
      <w:r>
        <w:rPr>
          <w:sz w:val="22"/>
          <w:szCs w:val="22"/>
        </w:rPr>
        <w:lastRenderedPageBreak/>
        <w:t>perusahaan meningkatkan kekuatan secara maksimal untuk jangka waktu panjang melalui respon positif yang diterima perusahaan dari masyarakat dan para pelaku pasar saham.</w:t>
      </w:r>
      <w:proofErr w:type="gramEnd"/>
    </w:p>
    <w:p w:rsidR="008101AE" w:rsidRDefault="008101AE">
      <w:pPr>
        <w:ind w:firstLine="425"/>
        <w:jc w:val="both"/>
        <w:rPr>
          <w:sz w:val="22"/>
          <w:szCs w:val="22"/>
        </w:rPr>
      </w:pPr>
    </w:p>
    <w:p w:rsidR="008101AE" w:rsidRDefault="004C5AA8">
      <w:pPr>
        <w:jc w:val="both"/>
        <w:rPr>
          <w:sz w:val="22"/>
          <w:szCs w:val="22"/>
        </w:rPr>
      </w:pPr>
      <w:r>
        <w:rPr>
          <w:b/>
          <w:sz w:val="22"/>
          <w:szCs w:val="22"/>
        </w:rPr>
        <w:t xml:space="preserve">Teori Stakeholder </w:t>
      </w:r>
    </w:p>
    <w:p w:rsidR="008101AE" w:rsidRDefault="004C5AA8">
      <w:pPr>
        <w:ind w:firstLine="720"/>
        <w:jc w:val="both"/>
        <w:rPr>
          <w:sz w:val="22"/>
          <w:szCs w:val="22"/>
        </w:rPr>
      </w:pPr>
      <w:proofErr w:type="gramStart"/>
      <w:r>
        <w:rPr>
          <w:i/>
          <w:color w:val="000000"/>
          <w:sz w:val="22"/>
          <w:szCs w:val="22"/>
        </w:rPr>
        <w:t>Stakeholders</w:t>
      </w:r>
      <w:proofErr w:type="gramEnd"/>
      <w:r>
        <w:rPr>
          <w:i/>
          <w:color w:val="000000"/>
          <w:sz w:val="22"/>
          <w:szCs w:val="22"/>
        </w:rPr>
        <w:t xml:space="preserve"> </w:t>
      </w:r>
      <w:r>
        <w:rPr>
          <w:color w:val="000000"/>
          <w:sz w:val="22"/>
          <w:szCs w:val="22"/>
        </w:rPr>
        <w:t>merupakan semua pihak baik internal maupun eksternal yang mempunyai hubungan yang bersifat mempengaruhi maupun dipengaruhi, bersifat langsung maupun tidak langsung oleh perusahaan.Teori</w:t>
      </w:r>
      <w:r>
        <w:rPr>
          <w:i/>
          <w:color w:val="000000"/>
          <w:sz w:val="22"/>
          <w:szCs w:val="22"/>
        </w:rPr>
        <w:t>stakeholder</w:t>
      </w:r>
      <w:r>
        <w:rPr>
          <w:color w:val="000000"/>
          <w:sz w:val="22"/>
          <w:szCs w:val="22"/>
        </w:rPr>
        <w:t xml:space="preserve"> yaitu </w:t>
      </w:r>
      <w:r>
        <w:rPr>
          <w:i/>
          <w:color w:val="000000"/>
          <w:sz w:val="22"/>
          <w:szCs w:val="22"/>
        </w:rPr>
        <w:t>stakeholder</w:t>
      </w:r>
      <w:r>
        <w:rPr>
          <w:color w:val="000000"/>
          <w:sz w:val="22"/>
          <w:szCs w:val="22"/>
        </w:rPr>
        <w:t xml:space="preserve"> yang memiliki kuasa mengendalikan sumber daya yang dibutuhkan oleh perusahaan (Jessica dan Agus, 2014). </w:t>
      </w:r>
      <w:proofErr w:type="gramStart"/>
      <w:r>
        <w:rPr>
          <w:color w:val="000000"/>
          <w:sz w:val="22"/>
          <w:szCs w:val="22"/>
        </w:rPr>
        <w:t xml:space="preserve">Teori </w:t>
      </w:r>
      <w:r>
        <w:rPr>
          <w:i/>
          <w:color w:val="000000"/>
          <w:sz w:val="22"/>
          <w:szCs w:val="22"/>
        </w:rPr>
        <w:t>stakeholder</w:t>
      </w:r>
      <w:r>
        <w:rPr>
          <w:color w:val="000000"/>
          <w:sz w:val="22"/>
          <w:szCs w:val="22"/>
        </w:rPr>
        <w:t xml:space="preserve"> menyatakan perusahaan memiliki tanggung jawab sosial yang mengharuskan mereka untuk mempertimbangkan kepentingan semua pihak yang terkena dampak tindakan mereka.</w:t>
      </w:r>
      <w:proofErr w:type="gramEnd"/>
    </w:p>
    <w:p w:rsidR="008101AE" w:rsidRDefault="008101AE">
      <w:pPr>
        <w:rPr>
          <w:sz w:val="22"/>
          <w:szCs w:val="22"/>
        </w:rPr>
      </w:pPr>
    </w:p>
    <w:p w:rsidR="008101AE" w:rsidRDefault="004C5AA8">
      <w:pPr>
        <w:rPr>
          <w:sz w:val="22"/>
          <w:szCs w:val="22"/>
        </w:rPr>
      </w:pPr>
      <w:r>
        <w:rPr>
          <w:b/>
          <w:sz w:val="22"/>
          <w:szCs w:val="22"/>
        </w:rPr>
        <w:t>Agresivitas Pajak</w:t>
      </w:r>
    </w:p>
    <w:p w:rsidR="008101AE" w:rsidRDefault="004C5AA8">
      <w:pPr>
        <w:ind w:firstLine="425"/>
        <w:jc w:val="both"/>
        <w:rPr>
          <w:sz w:val="22"/>
          <w:szCs w:val="22"/>
        </w:rPr>
      </w:pPr>
      <w:r>
        <w:rPr>
          <w:sz w:val="22"/>
          <w:szCs w:val="22"/>
        </w:rPr>
        <w:t xml:space="preserve">Agresivitas pajak merupakan salah satu </w:t>
      </w:r>
      <w:proofErr w:type="gramStart"/>
      <w:r>
        <w:rPr>
          <w:sz w:val="22"/>
          <w:szCs w:val="22"/>
        </w:rPr>
        <w:t>cara</w:t>
      </w:r>
      <w:proofErr w:type="gramEnd"/>
      <w:r>
        <w:rPr>
          <w:sz w:val="22"/>
          <w:szCs w:val="22"/>
        </w:rPr>
        <w:t xml:space="preserve"> atau perencanaan yang perusahaan lakukan untuk mengurangi beban pajak yang harus dibayarkan dan hal ini sangat umum digunakan besar di dunia.  Menurut Chen (2010) </w:t>
      </w:r>
      <w:proofErr w:type="gramStart"/>
      <w:r>
        <w:rPr>
          <w:sz w:val="22"/>
          <w:szCs w:val="22"/>
        </w:rPr>
        <w:t>dalam  Dea</w:t>
      </w:r>
      <w:proofErr w:type="gramEnd"/>
      <w:r>
        <w:rPr>
          <w:sz w:val="22"/>
          <w:szCs w:val="22"/>
        </w:rPr>
        <w:t xml:space="preserve"> (2017), tingkat keagresifan tindakan pajak didasarkan pada besarnya tujuanyang dimiliki perusahaan untuk meminimalkan pembayaran pajak. Kondisi lainnya yang dapat menghubungkan agresivitas pajak adalah tujuan perusahaan yang dinilai menjadi faktor motivasi bagi perusahaan dalam merencanakan pajak dengan jumlah yang minim</w:t>
      </w:r>
    </w:p>
    <w:p w:rsidR="008101AE" w:rsidRDefault="008101AE">
      <w:pPr>
        <w:ind w:firstLine="425"/>
        <w:jc w:val="both"/>
        <w:rPr>
          <w:sz w:val="22"/>
          <w:szCs w:val="22"/>
        </w:rPr>
      </w:pPr>
    </w:p>
    <w:p w:rsidR="008101AE" w:rsidRDefault="004C5AA8">
      <w:pPr>
        <w:jc w:val="both"/>
        <w:rPr>
          <w:sz w:val="22"/>
          <w:szCs w:val="22"/>
        </w:rPr>
      </w:pPr>
      <w:r>
        <w:rPr>
          <w:b/>
          <w:i/>
          <w:sz w:val="22"/>
          <w:szCs w:val="22"/>
        </w:rPr>
        <w:t>Corporate Governance</w:t>
      </w:r>
    </w:p>
    <w:p w:rsidR="008101AE" w:rsidRDefault="004C5AA8">
      <w:pPr>
        <w:ind w:firstLine="720"/>
        <w:jc w:val="both"/>
        <w:rPr>
          <w:sz w:val="22"/>
          <w:szCs w:val="22"/>
        </w:rPr>
      </w:pPr>
      <w:r>
        <w:rPr>
          <w:sz w:val="22"/>
          <w:szCs w:val="22"/>
        </w:rPr>
        <w:t>Merupakan sistem atau mekanisme yang mengatur dan mengendalikan perusahaan untuk menciptakan nilai tambah (</w:t>
      </w:r>
      <w:r>
        <w:rPr>
          <w:i/>
          <w:sz w:val="22"/>
          <w:szCs w:val="22"/>
        </w:rPr>
        <w:t>value added</w:t>
      </w:r>
      <w:r>
        <w:rPr>
          <w:sz w:val="22"/>
          <w:szCs w:val="22"/>
        </w:rPr>
        <w:t xml:space="preserve">) untuk semua </w:t>
      </w:r>
      <w:r>
        <w:rPr>
          <w:i/>
          <w:sz w:val="22"/>
          <w:szCs w:val="22"/>
        </w:rPr>
        <w:t>stockholders</w:t>
      </w:r>
      <w:r>
        <w:rPr>
          <w:sz w:val="22"/>
          <w:szCs w:val="22"/>
        </w:rPr>
        <w:t xml:space="preserve">. Perusahaan merupakan salah satu wajib pajak sedangkan </w:t>
      </w:r>
      <w:r>
        <w:rPr>
          <w:i/>
          <w:sz w:val="22"/>
          <w:szCs w:val="22"/>
        </w:rPr>
        <w:t>corporate governance</w:t>
      </w:r>
      <w:r>
        <w:rPr>
          <w:sz w:val="22"/>
          <w:szCs w:val="22"/>
        </w:rPr>
        <w:t xml:space="preserve"> menjelaskan hubungan antar berbagai partisipan dalam perusahaan yang menentukan arah kinerja perusahaan, sehingga dengan adanya </w:t>
      </w:r>
      <w:r>
        <w:rPr>
          <w:i/>
          <w:sz w:val="22"/>
          <w:szCs w:val="22"/>
        </w:rPr>
        <w:t>corporate governance</w:t>
      </w:r>
      <w:r>
        <w:rPr>
          <w:sz w:val="22"/>
          <w:szCs w:val="22"/>
        </w:rPr>
        <w:t xml:space="preserve"> memiliki andil dalam pengambilan keputusan, dalam keputusan dalam hal memenuhi kewajiban pajaknya, </w:t>
      </w:r>
      <w:proofErr w:type="gramStart"/>
      <w:r>
        <w:rPr>
          <w:sz w:val="22"/>
          <w:szCs w:val="22"/>
        </w:rPr>
        <w:t>akan</w:t>
      </w:r>
      <w:proofErr w:type="gramEnd"/>
      <w:r>
        <w:rPr>
          <w:sz w:val="22"/>
          <w:szCs w:val="22"/>
        </w:rPr>
        <w:t xml:space="preserve"> tetapi disisi lain perencanaan pajak bergantung pada dinamika </w:t>
      </w:r>
      <w:r>
        <w:rPr>
          <w:i/>
          <w:sz w:val="22"/>
          <w:szCs w:val="22"/>
        </w:rPr>
        <w:t>corporate governance</w:t>
      </w:r>
      <w:r>
        <w:rPr>
          <w:sz w:val="22"/>
          <w:szCs w:val="22"/>
        </w:rPr>
        <w:t xml:space="preserve"> dalam suatu perusahaan (Freedman, 2008). IICG (</w:t>
      </w:r>
      <w:r>
        <w:rPr>
          <w:i/>
          <w:sz w:val="22"/>
          <w:szCs w:val="22"/>
        </w:rPr>
        <w:t>The Indonesian Institute of Corporate Governance</w:t>
      </w:r>
      <w:r>
        <w:rPr>
          <w:sz w:val="22"/>
          <w:szCs w:val="22"/>
        </w:rPr>
        <w:t xml:space="preserve">) mendefenisikan </w:t>
      </w:r>
      <w:r>
        <w:rPr>
          <w:i/>
          <w:sz w:val="22"/>
          <w:szCs w:val="22"/>
        </w:rPr>
        <w:t>Corporate Governance</w:t>
      </w:r>
      <w:r>
        <w:rPr>
          <w:sz w:val="22"/>
          <w:szCs w:val="22"/>
        </w:rPr>
        <w:t xml:space="preserve"> </w:t>
      </w:r>
      <w:proofErr w:type="gramStart"/>
      <w:r>
        <w:rPr>
          <w:sz w:val="22"/>
          <w:szCs w:val="22"/>
        </w:rPr>
        <w:t>sebagai  proses</w:t>
      </w:r>
      <w:proofErr w:type="gramEnd"/>
      <w:r>
        <w:rPr>
          <w:sz w:val="22"/>
          <w:szCs w:val="22"/>
        </w:rPr>
        <w:t xml:space="preserve"> dari struktur yang diterapkan dalam menjalankan perusahaan dengan tujuan kegiatan utama perusahaan tetap berjalan tetapi tetap memperhatikan kepentingan </w:t>
      </w:r>
      <w:r>
        <w:rPr>
          <w:i/>
          <w:sz w:val="22"/>
          <w:szCs w:val="22"/>
        </w:rPr>
        <w:t>stakeholders.</w:t>
      </w:r>
    </w:p>
    <w:p w:rsidR="008101AE" w:rsidRDefault="008101AE">
      <w:pPr>
        <w:jc w:val="both"/>
        <w:rPr>
          <w:sz w:val="22"/>
          <w:szCs w:val="22"/>
        </w:rPr>
      </w:pPr>
    </w:p>
    <w:p w:rsidR="008101AE" w:rsidRDefault="004C5AA8">
      <w:pPr>
        <w:jc w:val="both"/>
        <w:rPr>
          <w:sz w:val="22"/>
          <w:szCs w:val="22"/>
        </w:rPr>
      </w:pPr>
      <w:r>
        <w:rPr>
          <w:b/>
          <w:sz w:val="22"/>
          <w:szCs w:val="22"/>
        </w:rPr>
        <w:t xml:space="preserve">Komisaris Independen </w:t>
      </w:r>
    </w:p>
    <w:p w:rsidR="008101AE" w:rsidRDefault="004C5AA8">
      <w:pPr>
        <w:ind w:firstLine="720"/>
        <w:jc w:val="both"/>
        <w:rPr>
          <w:color w:val="000000"/>
          <w:sz w:val="22"/>
          <w:szCs w:val="22"/>
        </w:rPr>
      </w:pPr>
      <w:proofErr w:type="gramStart"/>
      <w:r>
        <w:rPr>
          <w:color w:val="000000"/>
          <w:sz w:val="22"/>
          <w:szCs w:val="22"/>
        </w:rPr>
        <w:t xml:space="preserve">Pedoman </w:t>
      </w:r>
      <w:r>
        <w:rPr>
          <w:i/>
          <w:color w:val="000000"/>
          <w:sz w:val="22"/>
          <w:szCs w:val="22"/>
        </w:rPr>
        <w:t>good corporate governance</w:t>
      </w:r>
      <w:r>
        <w:rPr>
          <w:color w:val="000000"/>
          <w:sz w:val="22"/>
          <w:szCs w:val="22"/>
        </w:rPr>
        <w:t xml:space="preserve"> tahun 2006 menjelaskan bahwa struktur dewan komisaris terdiri dari komisaris yang tidak berasal dari pihak terafiliasi yang disebut dengan komisaris independen dan komisaris yang berasal dari pihak terafiliasi.</w:t>
      </w:r>
      <w:proofErr w:type="gramEnd"/>
      <w:r>
        <w:rPr>
          <w:color w:val="000000"/>
          <w:sz w:val="22"/>
          <w:szCs w:val="22"/>
        </w:rPr>
        <w:t xml:space="preserve"> </w:t>
      </w:r>
      <w:proofErr w:type="gramStart"/>
      <w:r>
        <w:rPr>
          <w:color w:val="000000"/>
          <w:sz w:val="22"/>
          <w:szCs w:val="22"/>
        </w:rPr>
        <w:t>Komisaris independen adalah bagian dari dewan komisaris yang tidak memegang jabatan di dalam perusahaan.</w:t>
      </w:r>
      <w:proofErr w:type="gramEnd"/>
      <w:r>
        <w:rPr>
          <w:color w:val="000000"/>
          <w:sz w:val="22"/>
          <w:szCs w:val="22"/>
        </w:rPr>
        <w:t xml:space="preserve"> </w:t>
      </w:r>
      <w:proofErr w:type="gramStart"/>
      <w:r>
        <w:rPr>
          <w:color w:val="000000"/>
          <w:sz w:val="22"/>
          <w:szCs w:val="22"/>
        </w:rPr>
        <w:t>Komisaris independen merupakan bagian yang tidak terafiliasi dalam segala hal dengan pemegang saham dengan direksi atau dewan komisaris dan tidak menjabat direktur perusahaan (Pohan, 2008).</w:t>
      </w:r>
      <w:proofErr w:type="gramEnd"/>
    </w:p>
    <w:p w:rsidR="008101AE" w:rsidRDefault="008101AE">
      <w:pPr>
        <w:jc w:val="both"/>
        <w:rPr>
          <w:sz w:val="22"/>
          <w:szCs w:val="22"/>
        </w:rPr>
      </w:pPr>
    </w:p>
    <w:p w:rsidR="008101AE" w:rsidRDefault="004C5AA8">
      <w:pPr>
        <w:jc w:val="both"/>
        <w:rPr>
          <w:sz w:val="22"/>
          <w:szCs w:val="22"/>
        </w:rPr>
      </w:pPr>
      <w:r>
        <w:rPr>
          <w:b/>
          <w:sz w:val="22"/>
          <w:szCs w:val="22"/>
        </w:rPr>
        <w:t>Komite Audit</w:t>
      </w:r>
    </w:p>
    <w:p w:rsidR="008101AE" w:rsidRDefault="004C5AA8">
      <w:pPr>
        <w:ind w:firstLine="720"/>
        <w:jc w:val="both"/>
        <w:rPr>
          <w:color w:val="000000"/>
          <w:sz w:val="22"/>
          <w:szCs w:val="22"/>
        </w:rPr>
      </w:pPr>
      <w:r>
        <w:rPr>
          <w:sz w:val="22"/>
          <w:szCs w:val="22"/>
        </w:rPr>
        <w:t xml:space="preserve">Komite audit adalah komite yang dibentuk oleh dewan komisarisperusahaan, yang anggotanya diangkat dan diberhentikan oleh dewan komisaris, yang bertugas untuk membantu melakukan pemeriksaan atau penelitian yang dianggap perlu terhadap pelaksanaan fungsi direksi dalam pengelolaan perusahaan (Fenny, 2014). </w:t>
      </w:r>
      <w:r>
        <w:rPr>
          <w:color w:val="000000"/>
          <w:sz w:val="22"/>
          <w:szCs w:val="22"/>
        </w:rPr>
        <w:t xml:space="preserve">Tugas dari komite audit adalah membantu dewan komisaris dalam melakukan pengawasan terhadap kinerja perusahaan. Dengan kata </w:t>
      </w:r>
      <w:proofErr w:type="gramStart"/>
      <w:r>
        <w:rPr>
          <w:color w:val="000000"/>
          <w:sz w:val="22"/>
          <w:szCs w:val="22"/>
        </w:rPr>
        <w:t>lain</w:t>
      </w:r>
      <w:proofErr w:type="gramEnd"/>
      <w:r>
        <w:rPr>
          <w:color w:val="000000"/>
          <w:sz w:val="22"/>
          <w:szCs w:val="22"/>
        </w:rPr>
        <w:t xml:space="preserve"> komite audit sebagai mana kita ketahui berfungsi sebagai jembatan penghubung antara perusahaan dengan eksternal auditor. Komite audit juga erat kaitannya dengan penelaahan terhadap resiko yang dihadapi perusahaan, dan juga ketaatan terhadap peraturan. Dengan adanya hal tersebut </w:t>
      </w:r>
      <w:r>
        <w:rPr>
          <w:color w:val="000000"/>
          <w:sz w:val="22"/>
          <w:szCs w:val="22"/>
        </w:rPr>
        <w:lastRenderedPageBreak/>
        <w:t xml:space="preserve">maka, komite audit dapat mengurangi pengukuran dan pengungkapan akuntansi yang tidak sehingga </w:t>
      </w:r>
      <w:proofErr w:type="gramStart"/>
      <w:r>
        <w:rPr>
          <w:color w:val="000000"/>
          <w:sz w:val="22"/>
          <w:szCs w:val="22"/>
        </w:rPr>
        <w:t>akan</w:t>
      </w:r>
      <w:proofErr w:type="gramEnd"/>
      <w:r>
        <w:rPr>
          <w:color w:val="000000"/>
          <w:sz w:val="22"/>
          <w:szCs w:val="22"/>
        </w:rPr>
        <w:t xml:space="preserve"> mengurangi juga (</w:t>
      </w:r>
      <w:r>
        <w:rPr>
          <w:i/>
          <w:color w:val="000000"/>
          <w:sz w:val="22"/>
          <w:szCs w:val="22"/>
        </w:rPr>
        <w:t xml:space="preserve">moral azard) </w:t>
      </w:r>
      <w:r>
        <w:rPr>
          <w:color w:val="000000"/>
          <w:sz w:val="22"/>
          <w:szCs w:val="22"/>
        </w:rPr>
        <w:t>tindakan kecurangan manajemen yang dapat merugikan perusahaan.</w:t>
      </w:r>
    </w:p>
    <w:p w:rsidR="00625B6E" w:rsidRDefault="00625B6E">
      <w:pPr>
        <w:jc w:val="both"/>
        <w:rPr>
          <w:b/>
          <w:sz w:val="22"/>
          <w:szCs w:val="22"/>
        </w:rPr>
      </w:pPr>
    </w:p>
    <w:p w:rsidR="008101AE" w:rsidRDefault="004C5AA8">
      <w:pPr>
        <w:jc w:val="both"/>
        <w:rPr>
          <w:sz w:val="22"/>
          <w:szCs w:val="22"/>
        </w:rPr>
      </w:pPr>
      <w:r>
        <w:rPr>
          <w:b/>
          <w:sz w:val="22"/>
          <w:szCs w:val="22"/>
        </w:rPr>
        <w:t>Kepemilikan Institusional</w:t>
      </w:r>
    </w:p>
    <w:p w:rsidR="008101AE" w:rsidRDefault="004C5AA8">
      <w:pPr>
        <w:ind w:firstLine="720"/>
        <w:jc w:val="both"/>
        <w:rPr>
          <w:sz w:val="22"/>
          <w:szCs w:val="22"/>
        </w:rPr>
      </w:pPr>
      <w:r>
        <w:rPr>
          <w:sz w:val="22"/>
          <w:szCs w:val="22"/>
        </w:rPr>
        <w:t xml:space="preserve">Kepemilikan institusional adalah kepemilikan saham perusahaan yang mayoritas dimiliki oleh institusi atau lembaga (perusahaan asuransi, bank, perusahaan investasi, </w:t>
      </w:r>
      <w:r>
        <w:rPr>
          <w:i/>
          <w:sz w:val="22"/>
          <w:szCs w:val="22"/>
        </w:rPr>
        <w:t>asset management</w:t>
      </w:r>
      <w:r>
        <w:rPr>
          <w:sz w:val="22"/>
          <w:szCs w:val="22"/>
        </w:rPr>
        <w:t xml:space="preserve"> dan kepemilikan institusi lain). Apabila suatu perusahaan mempunyai lebih dari satu pemegang saham institusi maka kepemilikan saham diukur dengan menghitung total seluruh saham yang dimiliki oleh seluruh kepemilikan institusi (Wulansari, 2015).</w:t>
      </w:r>
    </w:p>
    <w:p w:rsidR="008101AE" w:rsidRDefault="008101AE">
      <w:pPr>
        <w:jc w:val="both"/>
        <w:rPr>
          <w:sz w:val="22"/>
          <w:szCs w:val="22"/>
        </w:rPr>
      </w:pPr>
    </w:p>
    <w:p w:rsidR="008101AE" w:rsidRDefault="004C5AA8">
      <w:pPr>
        <w:jc w:val="both"/>
        <w:rPr>
          <w:sz w:val="22"/>
          <w:szCs w:val="22"/>
        </w:rPr>
      </w:pPr>
      <w:r>
        <w:rPr>
          <w:b/>
          <w:sz w:val="22"/>
          <w:szCs w:val="22"/>
        </w:rPr>
        <w:t xml:space="preserve">Pengungkapan </w:t>
      </w:r>
      <w:r>
        <w:rPr>
          <w:b/>
          <w:i/>
          <w:sz w:val="22"/>
          <w:szCs w:val="22"/>
        </w:rPr>
        <w:t>Corporate Social Responsibility</w:t>
      </w:r>
    </w:p>
    <w:p w:rsidR="008101AE" w:rsidRDefault="004C5AA8">
      <w:pPr>
        <w:ind w:firstLine="720"/>
        <w:jc w:val="both"/>
        <w:rPr>
          <w:sz w:val="22"/>
          <w:szCs w:val="22"/>
        </w:rPr>
      </w:pPr>
      <w:proofErr w:type="gramStart"/>
      <w:r>
        <w:rPr>
          <w:sz w:val="22"/>
          <w:szCs w:val="22"/>
        </w:rPr>
        <w:t>Menurut  Lanis</w:t>
      </w:r>
      <w:proofErr w:type="gramEnd"/>
      <w:r>
        <w:rPr>
          <w:sz w:val="22"/>
          <w:szCs w:val="22"/>
        </w:rPr>
        <w:t xml:space="preserve"> dan Richardson (2013) dalam Jessica dan Toly (2014) bahwa pengungkapan CSR dipandang sebagai sarana yang digunakan oleh menajemen perusahaan dalam berinteraksi dengan masyarakat yang lebih luas untuk mempengaruhi suatu dalam persepsi. </w:t>
      </w:r>
      <w:proofErr w:type="gramStart"/>
      <w:r>
        <w:rPr>
          <w:sz w:val="22"/>
          <w:szCs w:val="22"/>
        </w:rPr>
        <w:t>Pengungkapan CSR terdapat dalam laporan tanggung jawab sosial perusahaan, laporan sumber daya manusia, dan laporan kesehatan dan keselamatan kerja.</w:t>
      </w:r>
      <w:proofErr w:type="gramEnd"/>
      <w:r>
        <w:rPr>
          <w:sz w:val="22"/>
          <w:szCs w:val="22"/>
        </w:rPr>
        <w:t xml:space="preserve"> Oleh sebab Dewan Perwakilan Rakyat (DPR) mulai memperluas suatu jaringan pemberlakuan kewajiban pemberian </w:t>
      </w:r>
      <w:proofErr w:type="gramStart"/>
      <w:r>
        <w:rPr>
          <w:sz w:val="22"/>
          <w:szCs w:val="22"/>
        </w:rPr>
        <w:t>dana</w:t>
      </w:r>
      <w:proofErr w:type="gramEnd"/>
      <w:r>
        <w:rPr>
          <w:sz w:val="22"/>
          <w:szCs w:val="22"/>
        </w:rPr>
        <w:t xml:space="preserve"> tanggung jawab sosial perusahaan yang akan diatur dalam Rancangan Undang-Undang (RUU). Ketentuan mengenai pengungkapan </w:t>
      </w:r>
      <w:r>
        <w:rPr>
          <w:i/>
          <w:sz w:val="22"/>
          <w:szCs w:val="22"/>
        </w:rPr>
        <w:t>corporate social responsibility</w:t>
      </w:r>
      <w:r>
        <w:rPr>
          <w:sz w:val="22"/>
          <w:szCs w:val="22"/>
        </w:rPr>
        <w:t xml:space="preserve"> diatur dalam pasal 74 UU Nomor 40 Tahun 2007 mengenai Perseroan Terbatas yang membahas kewajiban soal pemberian dana CSR terbatas pada perseroan atau perusahaan yang aktivitasnya berkaitan dengan sumber daya alam . Pengungkapan </w:t>
      </w:r>
      <w:r>
        <w:rPr>
          <w:i/>
          <w:sz w:val="22"/>
          <w:szCs w:val="22"/>
        </w:rPr>
        <w:t>corporate social responsibility</w:t>
      </w:r>
      <w:r>
        <w:rPr>
          <w:sz w:val="22"/>
          <w:szCs w:val="22"/>
        </w:rPr>
        <w:t xml:space="preserve"> adalah mebuat suatu proses </w:t>
      </w:r>
      <w:proofErr w:type="gramStart"/>
      <w:r>
        <w:rPr>
          <w:sz w:val="22"/>
          <w:szCs w:val="22"/>
        </w:rPr>
        <w:t>yang  mempublikasikan</w:t>
      </w:r>
      <w:proofErr w:type="gramEnd"/>
      <w:r>
        <w:rPr>
          <w:sz w:val="22"/>
          <w:szCs w:val="22"/>
        </w:rPr>
        <w:t xml:space="preserve"> informasi tentang aktivitas perusahaan dan dampaknya pada keadaan sosial dan lingkungan sekitarnya ( Supramini dan Suprasto, 2017).</w:t>
      </w:r>
    </w:p>
    <w:p w:rsidR="008101AE" w:rsidRDefault="008101AE">
      <w:pPr>
        <w:jc w:val="both"/>
        <w:rPr>
          <w:sz w:val="22"/>
          <w:szCs w:val="22"/>
        </w:rPr>
      </w:pPr>
    </w:p>
    <w:p w:rsidR="008101AE" w:rsidRDefault="004C5AA8">
      <w:pPr>
        <w:jc w:val="both"/>
        <w:rPr>
          <w:sz w:val="22"/>
          <w:szCs w:val="22"/>
        </w:rPr>
      </w:pPr>
      <w:r>
        <w:rPr>
          <w:b/>
          <w:sz w:val="22"/>
          <w:szCs w:val="22"/>
        </w:rPr>
        <w:t>Pengembangan Hipotesis Hubungan Komisaris Independen terhadap Agresivitas Pajak</w:t>
      </w:r>
    </w:p>
    <w:p w:rsidR="008101AE" w:rsidRDefault="004C5AA8">
      <w:pPr>
        <w:pBdr>
          <w:top w:val="nil"/>
          <w:left w:val="nil"/>
          <w:bottom w:val="nil"/>
          <w:right w:val="nil"/>
          <w:between w:val="nil"/>
        </w:pBdr>
        <w:ind w:firstLine="709"/>
        <w:jc w:val="both"/>
        <w:rPr>
          <w:color w:val="000000"/>
          <w:sz w:val="22"/>
          <w:szCs w:val="22"/>
        </w:rPr>
      </w:pPr>
      <w:proofErr w:type="gramStart"/>
      <w:r>
        <w:rPr>
          <w:color w:val="000000"/>
          <w:sz w:val="22"/>
          <w:szCs w:val="22"/>
        </w:rPr>
        <w:t>Komisaris independen merupakan anggota dewan komisaris yang harus bersikap independen dan tidak boleh terlibat dalam segala bentuk tugas manajemen perusahaan secara langsung.</w:t>
      </w:r>
      <w:proofErr w:type="gramEnd"/>
      <w:r>
        <w:rPr>
          <w:color w:val="000000"/>
          <w:sz w:val="22"/>
          <w:szCs w:val="22"/>
        </w:rPr>
        <w:t xml:space="preserve"> </w:t>
      </w:r>
      <w:proofErr w:type="gramStart"/>
      <w:r>
        <w:rPr>
          <w:color w:val="000000"/>
          <w:sz w:val="22"/>
          <w:szCs w:val="22"/>
        </w:rPr>
        <w:t>Menurut Suyanto dan Supramono (2012), dengan semakin banyaknya komisaris independen yang ada dalam perusahaan maka pengawasan kinerja manajer dapat berjalan semakin efektif.</w:t>
      </w:r>
      <w:proofErr w:type="gramEnd"/>
      <w:r>
        <w:rPr>
          <w:color w:val="000000"/>
          <w:sz w:val="22"/>
          <w:szCs w:val="22"/>
        </w:rPr>
        <w:t xml:space="preserve"> Dengan banyaknya komisaris independen yang dimiliki</w:t>
      </w:r>
      <w:r>
        <w:rPr>
          <w:rFonts w:ascii="Calibri" w:eastAsia="Calibri" w:hAnsi="Calibri" w:cs="Calibri"/>
          <w:color w:val="000000"/>
          <w:sz w:val="22"/>
          <w:szCs w:val="22"/>
        </w:rPr>
        <w:t xml:space="preserve"> </w:t>
      </w:r>
      <w:r>
        <w:rPr>
          <w:color w:val="000000"/>
          <w:sz w:val="22"/>
          <w:szCs w:val="22"/>
        </w:rPr>
        <w:t xml:space="preserve">perusahaan, kesempatan manajer untuk berlaku agresif terhadap pajak juga </w:t>
      </w:r>
      <w:proofErr w:type="gramStart"/>
      <w:r>
        <w:rPr>
          <w:color w:val="000000"/>
          <w:sz w:val="22"/>
          <w:szCs w:val="22"/>
        </w:rPr>
        <w:t>akan</w:t>
      </w:r>
      <w:proofErr w:type="gramEnd"/>
      <w:r>
        <w:rPr>
          <w:color w:val="000000"/>
          <w:sz w:val="22"/>
          <w:szCs w:val="22"/>
        </w:rPr>
        <w:t xml:space="preserve"> berkurang. Sehingga tingkat agresivitas pajak perusahaan </w:t>
      </w:r>
      <w:proofErr w:type="gramStart"/>
      <w:r>
        <w:rPr>
          <w:color w:val="000000"/>
          <w:sz w:val="22"/>
          <w:szCs w:val="22"/>
        </w:rPr>
        <w:t>akan</w:t>
      </w:r>
      <w:proofErr w:type="gramEnd"/>
      <w:r>
        <w:rPr>
          <w:color w:val="000000"/>
          <w:sz w:val="22"/>
          <w:szCs w:val="22"/>
        </w:rPr>
        <w:t xml:space="preserve"> semakin rendah yang digambarkan dengan nilai ETR perusahaan yang tinggi. (Winata, 2014) Berdasarkan hal tersebut maka hipotesis yang diajukan peneliti </w:t>
      </w:r>
      <w:proofErr w:type="gramStart"/>
      <w:r>
        <w:rPr>
          <w:color w:val="000000"/>
          <w:sz w:val="22"/>
          <w:szCs w:val="22"/>
        </w:rPr>
        <w:t>adalah :</w:t>
      </w:r>
      <w:proofErr w:type="gramEnd"/>
    </w:p>
    <w:p w:rsidR="008101AE" w:rsidRDefault="004C5AA8">
      <w:pPr>
        <w:pBdr>
          <w:top w:val="nil"/>
          <w:left w:val="nil"/>
          <w:bottom w:val="nil"/>
          <w:right w:val="nil"/>
          <w:between w:val="nil"/>
        </w:pBdr>
        <w:spacing w:after="200"/>
        <w:jc w:val="both"/>
        <w:rPr>
          <w:color w:val="000000"/>
          <w:sz w:val="22"/>
          <w:szCs w:val="22"/>
        </w:rPr>
      </w:pPr>
      <w:r>
        <w:rPr>
          <w:color w:val="000000"/>
          <w:sz w:val="22"/>
          <w:szCs w:val="22"/>
        </w:rPr>
        <w:t>H1: Komisaris Independen Berpengaruh Terhadap Agresivitas Pajak</w:t>
      </w:r>
    </w:p>
    <w:p w:rsidR="008101AE" w:rsidRDefault="004C5AA8">
      <w:pPr>
        <w:jc w:val="both"/>
        <w:rPr>
          <w:sz w:val="22"/>
          <w:szCs w:val="22"/>
        </w:rPr>
      </w:pPr>
      <w:r>
        <w:rPr>
          <w:b/>
          <w:sz w:val="22"/>
          <w:szCs w:val="22"/>
        </w:rPr>
        <w:t>Hubungan Komite Audit terhadap Agresivitas Pajak</w:t>
      </w:r>
    </w:p>
    <w:p w:rsidR="008101AE" w:rsidRDefault="004C5AA8">
      <w:pPr>
        <w:pBdr>
          <w:top w:val="nil"/>
          <w:left w:val="nil"/>
          <w:bottom w:val="nil"/>
          <w:right w:val="nil"/>
          <w:between w:val="nil"/>
        </w:pBdr>
        <w:ind w:firstLine="720"/>
        <w:jc w:val="both"/>
        <w:rPr>
          <w:color w:val="000000"/>
          <w:sz w:val="22"/>
          <w:szCs w:val="22"/>
        </w:rPr>
      </w:pPr>
      <w:r>
        <w:rPr>
          <w:color w:val="000000"/>
          <w:sz w:val="22"/>
          <w:szCs w:val="22"/>
        </w:rPr>
        <w:t>Komite audit memiliki tugas serta tanggung jawab supaya perusahaan patuh terhadap peraturan termasuk peraturan perpajakan. Dengan adanya ukuran komite audit yang cukup di dalam sebuh perusahaan maka diharapkan mampu untuk mengurangi suatu hal praktik</w:t>
      </w:r>
      <w:r>
        <w:rPr>
          <w:rFonts w:ascii="Calibri" w:eastAsia="Calibri" w:hAnsi="Calibri" w:cs="Calibri"/>
          <w:color w:val="000000"/>
          <w:sz w:val="22"/>
          <w:szCs w:val="22"/>
        </w:rPr>
        <w:t xml:space="preserve"> </w:t>
      </w:r>
      <w:r>
        <w:rPr>
          <w:color w:val="000000"/>
          <w:sz w:val="22"/>
          <w:szCs w:val="22"/>
        </w:rPr>
        <w:t>Komite audit memiliki tugas serta tanggung jawab supaya perusahaan patuh terhadap peraturan termasuk peraturan perpajakan. Dengan adanya ukuran komite audit yang cukup di dalam sebuh perusahaan maka diharapkan mampu untuk mengurangi suatu hal praktik</w:t>
      </w:r>
      <w:r>
        <w:rPr>
          <w:rFonts w:ascii="Calibri" w:eastAsia="Calibri" w:hAnsi="Calibri" w:cs="Calibri"/>
          <w:color w:val="000000"/>
          <w:sz w:val="22"/>
          <w:szCs w:val="22"/>
        </w:rPr>
        <w:t xml:space="preserve"> </w:t>
      </w:r>
      <w:r>
        <w:rPr>
          <w:color w:val="000000"/>
          <w:sz w:val="22"/>
          <w:szCs w:val="22"/>
        </w:rPr>
        <w:t xml:space="preserve">manajemen laba serta agresivitas pajak yang bertujuan untuk mengurangi beban pajak (Midiastuty dan Suranta, 2016). Berdasarkan hal tersebut maka hipotesis yang diajukan peneliti </w:t>
      </w:r>
      <w:proofErr w:type="gramStart"/>
      <w:r>
        <w:rPr>
          <w:color w:val="000000"/>
          <w:sz w:val="22"/>
          <w:szCs w:val="22"/>
        </w:rPr>
        <w:t>adalah :</w:t>
      </w:r>
      <w:proofErr w:type="gramEnd"/>
    </w:p>
    <w:p w:rsidR="008101AE" w:rsidRDefault="004C5AA8">
      <w:pPr>
        <w:pBdr>
          <w:top w:val="nil"/>
          <w:left w:val="nil"/>
          <w:bottom w:val="nil"/>
          <w:right w:val="nil"/>
          <w:between w:val="nil"/>
        </w:pBdr>
        <w:spacing w:after="200"/>
        <w:jc w:val="both"/>
        <w:rPr>
          <w:color w:val="000000"/>
          <w:sz w:val="22"/>
          <w:szCs w:val="22"/>
        </w:rPr>
      </w:pPr>
      <w:proofErr w:type="gramStart"/>
      <w:r>
        <w:rPr>
          <w:color w:val="000000"/>
          <w:sz w:val="22"/>
          <w:szCs w:val="22"/>
        </w:rPr>
        <w:t>H2 :</w:t>
      </w:r>
      <w:proofErr w:type="gramEnd"/>
      <w:r>
        <w:rPr>
          <w:color w:val="000000"/>
          <w:sz w:val="22"/>
          <w:szCs w:val="22"/>
        </w:rPr>
        <w:t xml:space="preserve">  Komite Audit Berpengaruh  Terhadap Agresivitas Pajak.</w:t>
      </w:r>
    </w:p>
    <w:p w:rsidR="008101AE" w:rsidRDefault="004C5AA8">
      <w:pPr>
        <w:jc w:val="both"/>
        <w:rPr>
          <w:sz w:val="22"/>
          <w:szCs w:val="22"/>
        </w:rPr>
      </w:pPr>
      <w:r>
        <w:rPr>
          <w:b/>
          <w:sz w:val="22"/>
          <w:szCs w:val="22"/>
        </w:rPr>
        <w:t>Hubungan kepemilikan Konstitusional terhadap Agresivitas Pajak</w:t>
      </w:r>
    </w:p>
    <w:p w:rsidR="008101AE" w:rsidRDefault="004C5AA8">
      <w:pPr>
        <w:ind w:firstLine="720"/>
        <w:jc w:val="both"/>
        <w:rPr>
          <w:sz w:val="22"/>
          <w:szCs w:val="22"/>
        </w:rPr>
      </w:pPr>
      <w:proofErr w:type="gramStart"/>
      <w:r>
        <w:rPr>
          <w:sz w:val="22"/>
          <w:szCs w:val="22"/>
        </w:rPr>
        <w:lastRenderedPageBreak/>
        <w:t xml:space="preserve">Kepemilikan institusional adalah ukuran utama dalam </w:t>
      </w:r>
      <w:r>
        <w:rPr>
          <w:i/>
          <w:sz w:val="22"/>
          <w:szCs w:val="22"/>
        </w:rPr>
        <w:t>corporate governance</w:t>
      </w:r>
      <w:r>
        <w:rPr>
          <w:sz w:val="22"/>
          <w:szCs w:val="22"/>
        </w:rPr>
        <w:t xml:space="preserve"> dalam menengahi adanya penghindaran pajak pada perusahaan yang mempengaruhi nilai perusahaan.</w:t>
      </w:r>
      <w:proofErr w:type="gramEnd"/>
      <w:r>
        <w:rPr>
          <w:sz w:val="22"/>
          <w:szCs w:val="22"/>
        </w:rPr>
        <w:t xml:space="preserve"> Dengan adanya kontrol dan tingkat pengawasan yang tinggi dari kepemilikan institusional </w:t>
      </w:r>
      <w:proofErr w:type="gramStart"/>
      <w:r>
        <w:rPr>
          <w:sz w:val="22"/>
          <w:szCs w:val="22"/>
        </w:rPr>
        <w:t>akan</w:t>
      </w:r>
      <w:proofErr w:type="gramEnd"/>
      <w:r>
        <w:rPr>
          <w:sz w:val="22"/>
          <w:szCs w:val="22"/>
        </w:rPr>
        <w:t xml:space="preserve"> memberikan aspek positif pada penghindaran pajak (Imam, 2016). Berdasarkan hal tersebut maka hipotesis yang diajukan peneliti </w:t>
      </w:r>
      <w:proofErr w:type="gramStart"/>
      <w:r>
        <w:rPr>
          <w:sz w:val="22"/>
          <w:szCs w:val="22"/>
        </w:rPr>
        <w:t>adalah :</w:t>
      </w:r>
      <w:proofErr w:type="gramEnd"/>
    </w:p>
    <w:p w:rsidR="008101AE" w:rsidRDefault="004C5AA8">
      <w:pPr>
        <w:jc w:val="both"/>
        <w:rPr>
          <w:sz w:val="22"/>
          <w:szCs w:val="22"/>
        </w:rPr>
      </w:pPr>
      <w:proofErr w:type="gramStart"/>
      <w:r>
        <w:rPr>
          <w:sz w:val="22"/>
          <w:szCs w:val="22"/>
        </w:rPr>
        <w:t>H3 :</w:t>
      </w:r>
      <w:proofErr w:type="gramEnd"/>
      <w:r>
        <w:rPr>
          <w:sz w:val="22"/>
          <w:szCs w:val="22"/>
        </w:rPr>
        <w:t xml:space="preserve"> Kepemilikan Isntitusional berpengaruh terhadap Agresivitas Pajak</w:t>
      </w:r>
    </w:p>
    <w:p w:rsidR="008101AE" w:rsidRDefault="008101AE">
      <w:pPr>
        <w:jc w:val="both"/>
        <w:rPr>
          <w:sz w:val="22"/>
          <w:szCs w:val="22"/>
        </w:rPr>
      </w:pPr>
    </w:p>
    <w:p w:rsidR="008101AE" w:rsidRDefault="004C5AA8">
      <w:pPr>
        <w:jc w:val="both"/>
        <w:rPr>
          <w:sz w:val="22"/>
          <w:szCs w:val="22"/>
        </w:rPr>
      </w:pPr>
      <w:r>
        <w:rPr>
          <w:b/>
          <w:sz w:val="22"/>
          <w:szCs w:val="22"/>
        </w:rPr>
        <w:t>Hubungan Pengungkapan Corporate Social Responsibility terhadap Agresivitas Pajak</w:t>
      </w:r>
    </w:p>
    <w:p w:rsidR="008101AE" w:rsidRDefault="004C5AA8">
      <w:pPr>
        <w:pBdr>
          <w:top w:val="nil"/>
          <w:left w:val="nil"/>
          <w:bottom w:val="nil"/>
          <w:right w:val="nil"/>
          <w:between w:val="nil"/>
        </w:pBdr>
        <w:ind w:firstLine="720"/>
        <w:jc w:val="both"/>
        <w:rPr>
          <w:color w:val="000000"/>
          <w:sz w:val="22"/>
          <w:szCs w:val="22"/>
        </w:rPr>
      </w:pPr>
      <w:r>
        <w:rPr>
          <w:color w:val="000000"/>
          <w:sz w:val="22"/>
          <w:szCs w:val="22"/>
        </w:rPr>
        <w:t xml:space="preserve">Octaviana dan Rahma (2014), menyatakan bahwa </w:t>
      </w:r>
      <w:proofErr w:type="gramStart"/>
      <w:r>
        <w:rPr>
          <w:color w:val="000000"/>
          <w:sz w:val="22"/>
          <w:szCs w:val="22"/>
        </w:rPr>
        <w:t>akan</w:t>
      </w:r>
      <w:proofErr w:type="gramEnd"/>
      <w:r>
        <w:rPr>
          <w:color w:val="000000"/>
          <w:sz w:val="22"/>
          <w:szCs w:val="22"/>
        </w:rPr>
        <w:t xml:space="preserve"> semakin sulit untuk membedakan antara CSR yang dilakukan dengan tujuan untuk menguntungkan reputasi perusahaan. </w:t>
      </w:r>
      <w:proofErr w:type="gramStart"/>
      <w:r>
        <w:rPr>
          <w:color w:val="000000"/>
          <w:sz w:val="22"/>
          <w:szCs w:val="22"/>
        </w:rPr>
        <w:t>Oleh karena itu, penting dalam mempertimbangkan bagaimana CSR dapat mempengaruhi agresivitas pajak tanpa membuat setiap upaya untuk membedakan antara tindakan yang diambil karena perusahaan benar-benar ingin bertanggung jawabmaupun tindakan yang diambil karena tujuan tertentu.</w:t>
      </w:r>
      <w:proofErr w:type="gramEnd"/>
      <w:r>
        <w:rPr>
          <w:color w:val="000000"/>
          <w:sz w:val="22"/>
          <w:szCs w:val="22"/>
        </w:rPr>
        <w:t xml:space="preserve"> Hal ini karena, apabila perusahaan yang menjalankan CSR bertindak agresif terhadap pajak, maka </w:t>
      </w:r>
      <w:proofErr w:type="gramStart"/>
      <w:r>
        <w:rPr>
          <w:color w:val="000000"/>
          <w:sz w:val="22"/>
          <w:szCs w:val="22"/>
        </w:rPr>
        <w:t>akan</w:t>
      </w:r>
      <w:proofErr w:type="gramEnd"/>
      <w:r>
        <w:rPr>
          <w:color w:val="000000"/>
          <w:sz w:val="22"/>
          <w:szCs w:val="22"/>
        </w:rPr>
        <w:t xml:space="preserve"> membuat perusahaan tersebut kehilangan reputasi di mata dunia. Berdasarkan hal tersebut maka hipotesis yang diajukan peneliti </w:t>
      </w:r>
      <w:proofErr w:type="gramStart"/>
      <w:r>
        <w:rPr>
          <w:color w:val="000000"/>
          <w:sz w:val="22"/>
          <w:szCs w:val="22"/>
        </w:rPr>
        <w:t>adalah :</w:t>
      </w:r>
      <w:proofErr w:type="gramEnd"/>
    </w:p>
    <w:p w:rsidR="008101AE" w:rsidRDefault="004C5AA8">
      <w:pPr>
        <w:pBdr>
          <w:top w:val="nil"/>
          <w:left w:val="nil"/>
          <w:bottom w:val="nil"/>
          <w:right w:val="nil"/>
          <w:between w:val="nil"/>
        </w:pBdr>
        <w:spacing w:after="200"/>
        <w:jc w:val="both"/>
        <w:rPr>
          <w:color w:val="000000"/>
          <w:sz w:val="22"/>
          <w:szCs w:val="22"/>
        </w:rPr>
      </w:pPr>
      <w:proofErr w:type="gramStart"/>
      <w:r>
        <w:rPr>
          <w:color w:val="000000"/>
          <w:sz w:val="22"/>
          <w:szCs w:val="22"/>
        </w:rPr>
        <w:t>H4 :</w:t>
      </w:r>
      <w:proofErr w:type="gramEnd"/>
      <w:r>
        <w:rPr>
          <w:color w:val="000000"/>
          <w:sz w:val="22"/>
          <w:szCs w:val="22"/>
        </w:rPr>
        <w:t xml:space="preserve"> </w:t>
      </w:r>
      <w:r>
        <w:rPr>
          <w:i/>
          <w:color w:val="000000"/>
          <w:sz w:val="22"/>
          <w:szCs w:val="22"/>
        </w:rPr>
        <w:t xml:space="preserve">Corporate Social Responsibilty </w:t>
      </w:r>
      <w:r>
        <w:rPr>
          <w:color w:val="000000"/>
          <w:sz w:val="22"/>
          <w:szCs w:val="22"/>
        </w:rPr>
        <w:t>Berpengaruh Terhadap Agresivitas Pajak.</w:t>
      </w:r>
    </w:p>
    <w:p w:rsidR="008101AE" w:rsidRDefault="004C5AA8">
      <w:pPr>
        <w:jc w:val="both"/>
        <w:rPr>
          <w:sz w:val="22"/>
          <w:szCs w:val="22"/>
        </w:rPr>
      </w:pPr>
      <w:r>
        <w:rPr>
          <w:b/>
          <w:sz w:val="22"/>
          <w:szCs w:val="22"/>
        </w:rPr>
        <w:t xml:space="preserve">Metodologi Penelitian </w:t>
      </w:r>
    </w:p>
    <w:p w:rsidR="008101AE" w:rsidRDefault="004C5AA8">
      <w:pPr>
        <w:ind w:firstLine="720"/>
        <w:jc w:val="both"/>
        <w:rPr>
          <w:sz w:val="22"/>
          <w:szCs w:val="22"/>
        </w:rPr>
      </w:pPr>
      <w:r>
        <w:rPr>
          <w:sz w:val="22"/>
          <w:szCs w:val="22"/>
        </w:rPr>
        <w:t xml:space="preserve">Populasi yang digunakan pada penelitian ini adalah perusahaan sektor pertambangan yang terdaftar di bursa efek </w:t>
      </w:r>
      <w:proofErr w:type="gramStart"/>
      <w:r>
        <w:rPr>
          <w:sz w:val="22"/>
          <w:szCs w:val="22"/>
        </w:rPr>
        <w:t>indonesia</w:t>
      </w:r>
      <w:proofErr w:type="gramEnd"/>
      <w:r>
        <w:rPr>
          <w:sz w:val="22"/>
          <w:szCs w:val="22"/>
        </w:rPr>
        <w:t xml:space="preserve"> (BEI). </w:t>
      </w:r>
      <w:proofErr w:type="gramStart"/>
      <w:r>
        <w:rPr>
          <w:sz w:val="22"/>
          <w:szCs w:val="22"/>
        </w:rPr>
        <w:t xml:space="preserve">Penentuan sampel ini dengan menggunakan </w:t>
      </w:r>
      <w:r>
        <w:rPr>
          <w:i/>
          <w:sz w:val="22"/>
          <w:szCs w:val="22"/>
        </w:rPr>
        <w:t xml:space="preserve">purposive sampling, </w:t>
      </w:r>
      <w:r>
        <w:rPr>
          <w:sz w:val="22"/>
          <w:szCs w:val="22"/>
        </w:rPr>
        <w:t>yaitu pengambilan data disesuaikan dengan kriteria yang telah ditentukan sebelumnya oleh peneliti.</w:t>
      </w:r>
      <w:proofErr w:type="gramEnd"/>
      <w:r>
        <w:rPr>
          <w:sz w:val="22"/>
          <w:szCs w:val="22"/>
        </w:rPr>
        <w:t xml:space="preserve"> Kriteria dalam  </w:t>
      </w:r>
      <w:r>
        <w:rPr>
          <w:sz w:val="22"/>
          <w:szCs w:val="22"/>
        </w:rPr>
        <w:tab/>
        <w:t xml:space="preserve">penelitian ini </w:t>
      </w:r>
      <w:proofErr w:type="gramStart"/>
      <w:r>
        <w:rPr>
          <w:sz w:val="22"/>
          <w:szCs w:val="22"/>
        </w:rPr>
        <w:t>ialah :</w:t>
      </w:r>
      <w:proofErr w:type="gramEnd"/>
      <w:r>
        <w:rPr>
          <w:sz w:val="22"/>
          <w:szCs w:val="22"/>
        </w:rPr>
        <w:t xml:space="preserve"> (1) Perusahaan pertambangan yang terdaftar di BEI periode 2015-2018. (2) Perusahaan secara konsisten menerbitkan laporan keuangan selama periode pengamatan 2015-2018. (3) Perusahaan menggunakan mata uang dolar pada laporan keuangannya</w:t>
      </w:r>
      <w:proofErr w:type="gramStart"/>
      <w:r>
        <w:rPr>
          <w:sz w:val="22"/>
          <w:szCs w:val="22"/>
        </w:rPr>
        <w:t>.(</w:t>
      </w:r>
      <w:proofErr w:type="gramEnd"/>
      <w:r>
        <w:rPr>
          <w:sz w:val="22"/>
          <w:szCs w:val="22"/>
        </w:rPr>
        <w:t>4) perusahaan tidak mengalami kerugian pada periode 2015-2018. (5) Perusahaan memiliki kelengkapan data variabel-variabel yang digunakan dalam penelitian.</w:t>
      </w:r>
    </w:p>
    <w:p w:rsidR="008101AE" w:rsidRDefault="004C5AA8">
      <w:pPr>
        <w:jc w:val="both"/>
        <w:rPr>
          <w:sz w:val="22"/>
          <w:szCs w:val="22"/>
        </w:rPr>
      </w:pPr>
      <w:r>
        <w:rPr>
          <w:sz w:val="22"/>
          <w:szCs w:val="22"/>
        </w:rPr>
        <w:tab/>
        <w:t xml:space="preserve">Data yang dikumpulkan untuk penelitian ini adalah data sekunder yang diperoleh dari website bursa efek </w:t>
      </w:r>
      <w:proofErr w:type="gramStart"/>
      <w:r>
        <w:rPr>
          <w:sz w:val="22"/>
          <w:szCs w:val="22"/>
        </w:rPr>
        <w:t>indonesia</w:t>
      </w:r>
      <w:proofErr w:type="gramEnd"/>
      <w:r>
        <w:rPr>
          <w:sz w:val="22"/>
          <w:szCs w:val="22"/>
        </w:rPr>
        <w:t xml:space="preserve"> (BEI) dan Indonesia </w:t>
      </w:r>
      <w:r>
        <w:rPr>
          <w:i/>
          <w:sz w:val="22"/>
          <w:szCs w:val="22"/>
        </w:rPr>
        <w:t>Capital Market Directory</w:t>
      </w:r>
      <w:r>
        <w:rPr>
          <w:sz w:val="22"/>
          <w:szCs w:val="22"/>
        </w:rPr>
        <w:t xml:space="preserve"> (ICMD).</w:t>
      </w:r>
    </w:p>
    <w:p w:rsidR="008101AE" w:rsidRDefault="008101AE">
      <w:pPr>
        <w:jc w:val="both"/>
        <w:rPr>
          <w:sz w:val="22"/>
          <w:szCs w:val="22"/>
        </w:rPr>
      </w:pPr>
    </w:p>
    <w:p w:rsidR="008101AE" w:rsidRDefault="004C5AA8">
      <w:pPr>
        <w:jc w:val="both"/>
        <w:rPr>
          <w:sz w:val="22"/>
          <w:szCs w:val="22"/>
        </w:rPr>
      </w:pPr>
      <w:r>
        <w:rPr>
          <w:b/>
          <w:sz w:val="22"/>
          <w:szCs w:val="22"/>
        </w:rPr>
        <w:t xml:space="preserve">Definisi Operasional Variabel </w:t>
      </w:r>
    </w:p>
    <w:p w:rsidR="008101AE" w:rsidRDefault="004C5AA8" w:rsidP="006228B0">
      <w:pPr>
        <w:ind w:firstLine="360"/>
        <w:jc w:val="center"/>
        <w:rPr>
          <w:sz w:val="22"/>
          <w:szCs w:val="22"/>
        </w:rPr>
      </w:pPr>
      <w:r>
        <w:rPr>
          <w:sz w:val="22"/>
          <w:szCs w:val="22"/>
        </w:rPr>
        <w:t>Agresivitas pajak merupakan tindakan manipulasi yang digunakan oleh perusahaan untuk meminimalkan beban pajak yang</w:t>
      </w:r>
      <w:r>
        <w:rPr>
          <w:b/>
          <w:sz w:val="22"/>
          <w:szCs w:val="22"/>
        </w:rPr>
        <w:t xml:space="preserve"> </w:t>
      </w:r>
      <w:proofErr w:type="gramStart"/>
      <w:r>
        <w:rPr>
          <w:sz w:val="22"/>
          <w:szCs w:val="22"/>
        </w:rPr>
        <w:t>akan</w:t>
      </w:r>
      <w:proofErr w:type="gramEnd"/>
      <w:r>
        <w:rPr>
          <w:sz w:val="22"/>
          <w:szCs w:val="22"/>
        </w:rPr>
        <w:t xml:space="preserve"> dibayar bisa dengan cara yang legal maupun cara yang ilegal. Agreaivitas pajak dalam penelitian ini diukur menggunakan </w:t>
      </w:r>
      <w:r>
        <w:rPr>
          <w:i/>
          <w:sz w:val="22"/>
          <w:szCs w:val="22"/>
        </w:rPr>
        <w:t>Effective Tax Rate</w:t>
      </w:r>
      <w:r>
        <w:rPr>
          <w:sz w:val="22"/>
          <w:szCs w:val="22"/>
        </w:rPr>
        <w:t xml:space="preserve"> (ETR), yaitu dengan perhitungan total beban pajak penghasilan dibagi dengan laba sebelum pajak (Lanis dan Richardson, 2013). Untuk menghitung variabel ETR menggunakan rumus dibawah:</w:t>
      </w:r>
      <w:r>
        <w:rPr>
          <w:rFonts w:ascii="Cambria Math" w:eastAsia="Cambria Math" w:hAnsi="Cambria Math" w:cs="Cambria Math"/>
          <w:sz w:val="22"/>
          <w:szCs w:val="22"/>
        </w:rPr>
        <w:br/>
      </w:r>
      <w:r>
        <w:rPr>
          <w:noProof/>
          <w:sz w:val="22"/>
          <w:szCs w:val="22"/>
        </w:rPr>
        <w:drawing>
          <wp:inline distT="0" distB="0" distL="114300" distR="114300" wp14:anchorId="6F51A1B0" wp14:editId="29B4BF05">
            <wp:extent cx="1505585" cy="346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05585" cy="346075"/>
                    </a:xfrm>
                    <a:prstGeom prst="rect">
                      <a:avLst/>
                    </a:prstGeom>
                    <a:ln/>
                  </pic:spPr>
                </pic:pic>
              </a:graphicData>
            </a:graphic>
          </wp:inline>
        </w:drawing>
      </w:r>
    </w:p>
    <w:p w:rsidR="008101AE" w:rsidRDefault="008101AE">
      <w:pPr>
        <w:ind w:firstLine="360"/>
        <w:jc w:val="both"/>
        <w:rPr>
          <w:sz w:val="22"/>
          <w:szCs w:val="22"/>
        </w:rPr>
      </w:pPr>
    </w:p>
    <w:p w:rsidR="008101AE" w:rsidRDefault="004C5AA8">
      <w:pPr>
        <w:jc w:val="both"/>
        <w:rPr>
          <w:sz w:val="22"/>
          <w:szCs w:val="22"/>
        </w:rPr>
      </w:pPr>
      <w:r>
        <w:rPr>
          <w:b/>
          <w:i/>
          <w:sz w:val="22"/>
          <w:szCs w:val="22"/>
        </w:rPr>
        <w:t xml:space="preserve">Corporate Governance </w:t>
      </w:r>
      <w:r>
        <w:rPr>
          <w:b/>
          <w:sz w:val="22"/>
          <w:szCs w:val="22"/>
        </w:rPr>
        <w:t>(X)</w:t>
      </w:r>
    </w:p>
    <w:p w:rsidR="008101AE" w:rsidRDefault="004C5AA8">
      <w:pPr>
        <w:jc w:val="both"/>
        <w:rPr>
          <w:sz w:val="22"/>
          <w:szCs w:val="22"/>
        </w:rPr>
      </w:pPr>
      <w:r>
        <w:rPr>
          <w:sz w:val="22"/>
          <w:szCs w:val="22"/>
        </w:rPr>
        <w:t>Pada penelitian ini variabel corporate governance di ukur menggunakan 3 proksi yaitu:</w:t>
      </w:r>
    </w:p>
    <w:p w:rsidR="008101AE" w:rsidRDefault="008101AE">
      <w:pPr>
        <w:jc w:val="both"/>
        <w:rPr>
          <w:sz w:val="22"/>
          <w:szCs w:val="22"/>
        </w:rPr>
      </w:pPr>
    </w:p>
    <w:p w:rsidR="008101AE" w:rsidRDefault="004C5AA8" w:rsidP="00625B6E">
      <w:pPr>
        <w:numPr>
          <w:ilvl w:val="0"/>
          <w:numId w:val="2"/>
        </w:numPr>
        <w:ind w:left="284" w:hanging="284"/>
        <w:jc w:val="both"/>
        <w:rPr>
          <w:sz w:val="22"/>
          <w:szCs w:val="22"/>
        </w:rPr>
      </w:pPr>
      <w:r>
        <w:rPr>
          <w:sz w:val="22"/>
          <w:szCs w:val="22"/>
        </w:rPr>
        <w:t>Komisaris Independen (X</w:t>
      </w:r>
      <w:r>
        <w:rPr>
          <w:sz w:val="22"/>
          <w:szCs w:val="22"/>
          <w:vertAlign w:val="subscript"/>
        </w:rPr>
        <w:t>1</w:t>
      </w:r>
      <w:r>
        <w:rPr>
          <w:sz w:val="22"/>
          <w:szCs w:val="22"/>
        </w:rPr>
        <w:t>)</w:t>
      </w:r>
    </w:p>
    <w:p w:rsidR="00625B6E" w:rsidRDefault="004C5AA8" w:rsidP="00625B6E">
      <w:pPr>
        <w:jc w:val="both"/>
        <w:rPr>
          <w:sz w:val="22"/>
          <w:szCs w:val="22"/>
        </w:rPr>
      </w:pPr>
      <w:r>
        <w:rPr>
          <w:sz w:val="22"/>
          <w:szCs w:val="22"/>
        </w:rPr>
        <w:t xml:space="preserve">Perbandingan antara jumlah anggota komisaris yang bukan berasal dari internal perusahaan terhadap total dewan komisaris yang dimiliki perusahaan disebut dengan proporsi komisaris independen (Prasojo, 2011). Untuk menghitung proporsi komisaris independen dirumuskan dengan rumus sebagai </w:t>
      </w:r>
      <w:proofErr w:type="gramStart"/>
      <w:r>
        <w:rPr>
          <w:sz w:val="22"/>
          <w:szCs w:val="22"/>
        </w:rPr>
        <w:t>berikut :</w:t>
      </w:r>
      <w:proofErr w:type="gramEnd"/>
    </w:p>
    <w:p w:rsidR="008101AE" w:rsidRDefault="004C5AA8" w:rsidP="00625B6E">
      <w:pPr>
        <w:jc w:val="center"/>
        <w:rPr>
          <w:sz w:val="22"/>
          <w:szCs w:val="22"/>
        </w:rPr>
      </w:pPr>
      <w:r>
        <w:rPr>
          <w:noProof/>
          <w:sz w:val="22"/>
          <w:szCs w:val="22"/>
        </w:rPr>
        <w:lastRenderedPageBreak/>
        <w:drawing>
          <wp:inline distT="0" distB="0" distL="114300" distR="114300" wp14:anchorId="2A2F1F8F" wp14:editId="6CDA7F66">
            <wp:extent cx="2009775" cy="2857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09775" cy="285750"/>
                    </a:xfrm>
                    <a:prstGeom prst="rect">
                      <a:avLst/>
                    </a:prstGeom>
                    <a:ln/>
                  </pic:spPr>
                </pic:pic>
              </a:graphicData>
            </a:graphic>
          </wp:inline>
        </w:drawing>
      </w:r>
    </w:p>
    <w:p w:rsidR="008101AE" w:rsidRDefault="008101AE">
      <w:pPr>
        <w:jc w:val="both"/>
        <w:rPr>
          <w:sz w:val="22"/>
          <w:szCs w:val="22"/>
        </w:rPr>
      </w:pPr>
    </w:p>
    <w:p w:rsidR="008101AE" w:rsidRDefault="004C5AA8" w:rsidP="00625B6E">
      <w:pPr>
        <w:numPr>
          <w:ilvl w:val="0"/>
          <w:numId w:val="2"/>
        </w:numPr>
        <w:ind w:left="284" w:hanging="284"/>
        <w:jc w:val="both"/>
        <w:rPr>
          <w:sz w:val="22"/>
          <w:szCs w:val="22"/>
        </w:rPr>
      </w:pPr>
      <w:r>
        <w:rPr>
          <w:sz w:val="22"/>
          <w:szCs w:val="22"/>
        </w:rPr>
        <w:t>Komite Audit (X</w:t>
      </w:r>
      <w:r>
        <w:rPr>
          <w:sz w:val="22"/>
          <w:szCs w:val="22"/>
          <w:vertAlign w:val="subscript"/>
        </w:rPr>
        <w:t>2</w:t>
      </w:r>
      <w:r>
        <w:rPr>
          <w:sz w:val="22"/>
          <w:szCs w:val="22"/>
        </w:rPr>
        <w:t>)</w:t>
      </w:r>
    </w:p>
    <w:p w:rsidR="008101AE" w:rsidRDefault="004C5AA8">
      <w:pPr>
        <w:jc w:val="both"/>
        <w:rPr>
          <w:sz w:val="22"/>
          <w:szCs w:val="22"/>
        </w:rPr>
      </w:pPr>
      <w:r>
        <w:rPr>
          <w:sz w:val="22"/>
          <w:szCs w:val="22"/>
        </w:rPr>
        <w:t>Komite audit merupakan jumlah seluruh anggota komite audiit dalam suatu perusahaan. Komite audit sesuai dengan aturan yang telah ditetapkan oleh OJK mewajibkan komite audit minimal terdiri dari seorang ketua yang juga komisaris independen dan dua anggota eksternal yang independen. Komite audit diukur dengan menghitung jumlah anggota komite audit dalam suatu perusahaan (Mulyani dkk, 2015).</w:t>
      </w:r>
    </w:p>
    <w:p w:rsidR="008101AE" w:rsidRDefault="008101AE">
      <w:pPr>
        <w:jc w:val="both"/>
        <w:rPr>
          <w:sz w:val="22"/>
          <w:szCs w:val="22"/>
        </w:rPr>
      </w:pPr>
    </w:p>
    <w:p w:rsidR="008101AE" w:rsidRDefault="004C5AA8" w:rsidP="00625B6E">
      <w:pPr>
        <w:numPr>
          <w:ilvl w:val="0"/>
          <w:numId w:val="2"/>
        </w:numPr>
        <w:ind w:left="284" w:hanging="284"/>
        <w:jc w:val="both"/>
        <w:rPr>
          <w:sz w:val="22"/>
          <w:szCs w:val="22"/>
        </w:rPr>
      </w:pPr>
      <w:r>
        <w:rPr>
          <w:sz w:val="22"/>
          <w:szCs w:val="22"/>
        </w:rPr>
        <w:t>Kepemilikan Institusional (X</w:t>
      </w:r>
      <w:r>
        <w:rPr>
          <w:sz w:val="22"/>
          <w:szCs w:val="22"/>
          <w:vertAlign w:val="subscript"/>
        </w:rPr>
        <w:t>3</w:t>
      </w:r>
      <w:r>
        <w:rPr>
          <w:sz w:val="22"/>
          <w:szCs w:val="22"/>
        </w:rPr>
        <w:t>)</w:t>
      </w:r>
    </w:p>
    <w:p w:rsidR="008101AE" w:rsidRDefault="004C5AA8">
      <w:pPr>
        <w:jc w:val="both"/>
        <w:rPr>
          <w:sz w:val="22"/>
          <w:szCs w:val="22"/>
        </w:rPr>
      </w:pPr>
      <w:proofErr w:type="gramStart"/>
      <w:r>
        <w:rPr>
          <w:sz w:val="22"/>
          <w:szCs w:val="22"/>
        </w:rPr>
        <w:t>Kepemilikan konstitusional yaitu kepemilikan saham perusahaan yang mayoritas dimiliki oleh institusi atau lembaga (perusahaan asuransi, bank, perusahaan-perusahaan (Mulyani dkk, 2015).</w:t>
      </w:r>
      <w:proofErr w:type="gramEnd"/>
      <w:r>
        <w:rPr>
          <w:sz w:val="22"/>
          <w:szCs w:val="22"/>
        </w:rPr>
        <w:t xml:space="preserve"> Investasi asset management, dan kepemilikan institusi lain (Sri </w:t>
      </w:r>
      <w:proofErr w:type="gramStart"/>
      <w:r>
        <w:rPr>
          <w:sz w:val="22"/>
          <w:szCs w:val="22"/>
        </w:rPr>
        <w:t>dkk</w:t>
      </w:r>
      <w:proofErr w:type="gramEnd"/>
      <w:r>
        <w:rPr>
          <w:sz w:val="22"/>
          <w:szCs w:val="22"/>
        </w:rPr>
        <w:t>, 2018). Rumusnya adalah:</w:t>
      </w:r>
    </w:p>
    <w:p w:rsidR="008101AE" w:rsidRDefault="004C5AA8" w:rsidP="006228B0">
      <w:pPr>
        <w:jc w:val="center"/>
        <w:rPr>
          <w:sz w:val="22"/>
          <w:szCs w:val="22"/>
        </w:rPr>
      </w:pPr>
      <w:r>
        <w:rPr>
          <w:noProof/>
          <w:sz w:val="22"/>
          <w:szCs w:val="22"/>
        </w:rPr>
        <w:drawing>
          <wp:inline distT="0" distB="0" distL="114300" distR="114300" wp14:anchorId="289625AF" wp14:editId="233072F5">
            <wp:extent cx="1914525" cy="3143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14525" cy="314325"/>
                    </a:xfrm>
                    <a:prstGeom prst="rect">
                      <a:avLst/>
                    </a:prstGeom>
                    <a:ln/>
                  </pic:spPr>
                </pic:pic>
              </a:graphicData>
            </a:graphic>
          </wp:inline>
        </w:drawing>
      </w:r>
    </w:p>
    <w:p w:rsidR="008101AE" w:rsidRDefault="008101AE">
      <w:pPr>
        <w:jc w:val="both"/>
        <w:rPr>
          <w:sz w:val="22"/>
          <w:szCs w:val="22"/>
        </w:rPr>
      </w:pPr>
    </w:p>
    <w:p w:rsidR="008101AE" w:rsidRDefault="008101AE">
      <w:pPr>
        <w:jc w:val="both"/>
        <w:rPr>
          <w:sz w:val="22"/>
          <w:szCs w:val="22"/>
        </w:rPr>
      </w:pPr>
    </w:p>
    <w:p w:rsidR="008101AE" w:rsidRDefault="004C5AA8">
      <w:pPr>
        <w:jc w:val="both"/>
        <w:rPr>
          <w:sz w:val="22"/>
          <w:szCs w:val="22"/>
        </w:rPr>
      </w:pPr>
      <w:r>
        <w:rPr>
          <w:b/>
          <w:sz w:val="22"/>
          <w:szCs w:val="22"/>
        </w:rPr>
        <w:t xml:space="preserve">Pengungkapan </w:t>
      </w:r>
      <w:r>
        <w:rPr>
          <w:b/>
          <w:i/>
          <w:sz w:val="22"/>
          <w:szCs w:val="22"/>
        </w:rPr>
        <w:t xml:space="preserve">Corporate Social Responsibility </w:t>
      </w:r>
      <w:r>
        <w:rPr>
          <w:b/>
          <w:sz w:val="22"/>
          <w:szCs w:val="22"/>
        </w:rPr>
        <w:t>(X</w:t>
      </w:r>
      <w:r>
        <w:rPr>
          <w:b/>
          <w:sz w:val="22"/>
          <w:szCs w:val="22"/>
          <w:vertAlign w:val="subscript"/>
        </w:rPr>
        <w:t>4</w:t>
      </w:r>
      <w:r>
        <w:rPr>
          <w:b/>
          <w:sz w:val="22"/>
          <w:szCs w:val="22"/>
        </w:rPr>
        <w:t>)</w:t>
      </w:r>
    </w:p>
    <w:p w:rsidR="008101AE" w:rsidRDefault="004C5AA8">
      <w:pPr>
        <w:ind w:firstLine="720"/>
        <w:jc w:val="both"/>
        <w:rPr>
          <w:sz w:val="22"/>
          <w:szCs w:val="22"/>
        </w:rPr>
      </w:pPr>
      <w:proofErr w:type="gramStart"/>
      <w:r>
        <w:rPr>
          <w:sz w:val="22"/>
          <w:szCs w:val="22"/>
        </w:rPr>
        <w:t xml:space="preserve">Penelitian ini untuk mengukur pengungkapan CSR menggunakan proksi CSRDi berdasarkan indikator GRI Versi 4.0 yang berjumlah 91 </w:t>
      </w:r>
      <w:r>
        <w:rPr>
          <w:i/>
          <w:sz w:val="22"/>
          <w:szCs w:val="22"/>
        </w:rPr>
        <w:t>items</w:t>
      </w:r>
      <w:r>
        <w:rPr>
          <w:sz w:val="22"/>
          <w:szCs w:val="22"/>
        </w:rPr>
        <w:t>.</w:t>
      </w:r>
      <w:proofErr w:type="gramEnd"/>
      <w:r>
        <w:rPr>
          <w:sz w:val="22"/>
          <w:szCs w:val="22"/>
        </w:rPr>
        <w:t xml:space="preserve"> </w:t>
      </w:r>
      <w:proofErr w:type="gramStart"/>
      <w:r>
        <w:rPr>
          <w:sz w:val="22"/>
          <w:szCs w:val="22"/>
        </w:rPr>
        <w:t>Pengukuran dilakukan dengan memberikan skor 1 untuk item yang diungkap didalam laporan pengungkapan CSR dan skor 0 diberikan terhadap item yang tidak diungkap dalam laporan pengungkapan CSR.</w:t>
      </w:r>
      <w:proofErr w:type="gramEnd"/>
      <w:r>
        <w:rPr>
          <w:sz w:val="22"/>
          <w:szCs w:val="22"/>
        </w:rPr>
        <w:t xml:space="preserve"> Selanjutnya total skor pengungkapan CSRnya dibagi dengan total item pengungkapan yang diharapkan sehingga didapat hasil skor pengungkapan per indikator untuk tiap perusahaan. (Rengganis dan Putri, 2018</w:t>
      </w:r>
      <w:proofErr w:type="gramStart"/>
      <w:r>
        <w:rPr>
          <w:sz w:val="22"/>
          <w:szCs w:val="22"/>
        </w:rPr>
        <w:t>) .</w:t>
      </w:r>
      <w:proofErr w:type="gramEnd"/>
      <w:r>
        <w:rPr>
          <w:sz w:val="22"/>
          <w:szCs w:val="22"/>
        </w:rPr>
        <w:t xml:space="preserve"> Untuk menghitung CSRDi adapun </w:t>
      </w:r>
      <w:proofErr w:type="gramStart"/>
      <w:r>
        <w:rPr>
          <w:sz w:val="22"/>
          <w:szCs w:val="22"/>
        </w:rPr>
        <w:t>rumusnya :</w:t>
      </w:r>
      <w:proofErr w:type="gramEnd"/>
    </w:p>
    <w:p w:rsidR="008101AE" w:rsidRDefault="004C5AA8" w:rsidP="006228B0">
      <w:pPr>
        <w:jc w:val="center"/>
        <w:rPr>
          <w:sz w:val="22"/>
          <w:szCs w:val="22"/>
        </w:rPr>
      </w:pPr>
      <w:r w:rsidRPr="006228B0">
        <w:rPr>
          <w:b/>
          <w:noProof/>
          <w:sz w:val="22"/>
          <w:szCs w:val="22"/>
        </w:rPr>
        <w:drawing>
          <wp:inline distT="0" distB="0" distL="114300" distR="114300" wp14:anchorId="14B6E651" wp14:editId="47AE6593">
            <wp:extent cx="2428875" cy="2857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428875" cy="285750"/>
                    </a:xfrm>
                    <a:prstGeom prst="rect">
                      <a:avLst/>
                    </a:prstGeom>
                    <a:ln/>
                  </pic:spPr>
                </pic:pic>
              </a:graphicData>
            </a:graphic>
          </wp:inline>
        </w:drawing>
      </w:r>
    </w:p>
    <w:p w:rsidR="008101AE" w:rsidRDefault="004C5AA8">
      <w:pPr>
        <w:jc w:val="both"/>
        <w:rPr>
          <w:sz w:val="22"/>
          <w:szCs w:val="22"/>
        </w:rPr>
      </w:pPr>
      <w:r>
        <w:rPr>
          <w:b/>
          <w:sz w:val="22"/>
          <w:szCs w:val="22"/>
        </w:rPr>
        <w:t>Metode Analisis Data</w:t>
      </w:r>
    </w:p>
    <w:p w:rsidR="008101AE" w:rsidRDefault="004C5AA8">
      <w:pPr>
        <w:ind w:firstLine="720"/>
        <w:jc w:val="both"/>
        <w:rPr>
          <w:sz w:val="22"/>
          <w:szCs w:val="22"/>
        </w:rPr>
      </w:pPr>
      <w:proofErr w:type="gramStart"/>
      <w:r>
        <w:rPr>
          <w:sz w:val="22"/>
          <w:szCs w:val="22"/>
        </w:rPr>
        <w:t>Metode analisis data dalam penelitian ini regresi berganda adalah analisis yang digunakan untuk menguji pengaruh dua atau lebih variabel independen terhadap variabel dependen.</w:t>
      </w:r>
      <w:proofErr w:type="gramEnd"/>
      <w:r>
        <w:rPr>
          <w:sz w:val="22"/>
          <w:szCs w:val="22"/>
        </w:rPr>
        <w:t xml:space="preserve"> Untuk mengetahui pengaruh variabel bebas terhadap variabel dependen digunakan model regresi linear berganda dalam SPSS dengan persamaan sebagai berikut: </w:t>
      </w:r>
    </w:p>
    <w:p w:rsidR="008101AE" w:rsidRDefault="004C5AA8">
      <w:pPr>
        <w:jc w:val="both"/>
        <w:rPr>
          <w:sz w:val="22"/>
          <w:szCs w:val="22"/>
        </w:rPr>
      </w:pPr>
      <w:proofErr w:type="gramStart"/>
      <w:r>
        <w:rPr>
          <w:sz w:val="22"/>
          <w:szCs w:val="22"/>
        </w:rPr>
        <w:t>ETR  =</w:t>
      </w:r>
      <w:proofErr w:type="gramEnd"/>
      <w:r>
        <w:rPr>
          <w:sz w:val="22"/>
          <w:szCs w:val="22"/>
        </w:rPr>
        <w:t xml:space="preserve"> α +β</w:t>
      </w:r>
      <w:r>
        <w:rPr>
          <w:sz w:val="22"/>
          <w:szCs w:val="22"/>
          <w:vertAlign w:val="subscript"/>
        </w:rPr>
        <w:t>1</w:t>
      </w:r>
      <w:r>
        <w:rPr>
          <w:sz w:val="22"/>
          <w:szCs w:val="22"/>
        </w:rPr>
        <w:t>(KI) + β</w:t>
      </w:r>
      <w:r>
        <w:rPr>
          <w:sz w:val="22"/>
          <w:szCs w:val="22"/>
          <w:vertAlign w:val="subscript"/>
        </w:rPr>
        <w:t>2</w:t>
      </w:r>
      <w:r>
        <w:rPr>
          <w:sz w:val="22"/>
          <w:szCs w:val="22"/>
        </w:rPr>
        <w:t>(KA) + β</w:t>
      </w:r>
      <w:r>
        <w:rPr>
          <w:sz w:val="22"/>
          <w:szCs w:val="22"/>
          <w:vertAlign w:val="subscript"/>
        </w:rPr>
        <w:t>3</w:t>
      </w:r>
      <w:r>
        <w:rPr>
          <w:sz w:val="22"/>
          <w:szCs w:val="22"/>
        </w:rPr>
        <w:t>(KINS) + β</w:t>
      </w:r>
      <w:r>
        <w:rPr>
          <w:sz w:val="22"/>
          <w:szCs w:val="22"/>
          <w:vertAlign w:val="subscript"/>
        </w:rPr>
        <w:t>4</w:t>
      </w:r>
      <w:r>
        <w:rPr>
          <w:sz w:val="22"/>
          <w:szCs w:val="22"/>
        </w:rPr>
        <w:t>(CSR) + e</w:t>
      </w:r>
    </w:p>
    <w:p w:rsidR="008101AE" w:rsidRDefault="008101AE">
      <w:pPr>
        <w:jc w:val="both"/>
        <w:rPr>
          <w:sz w:val="22"/>
          <w:szCs w:val="22"/>
        </w:rPr>
      </w:pPr>
    </w:p>
    <w:p w:rsidR="008101AE" w:rsidRDefault="004C5AA8">
      <w:pPr>
        <w:jc w:val="both"/>
        <w:rPr>
          <w:sz w:val="22"/>
          <w:szCs w:val="22"/>
        </w:rPr>
      </w:pPr>
      <w:r>
        <w:rPr>
          <w:b/>
          <w:sz w:val="22"/>
          <w:szCs w:val="22"/>
        </w:rPr>
        <w:t xml:space="preserve">Hasil dan Pembahasan Penelitian Statistik Deskriptif </w:t>
      </w:r>
    </w:p>
    <w:p w:rsidR="008101AE" w:rsidRDefault="004C5AA8">
      <w:pPr>
        <w:ind w:firstLine="720"/>
        <w:jc w:val="both"/>
        <w:rPr>
          <w:sz w:val="22"/>
          <w:szCs w:val="22"/>
        </w:rPr>
      </w:pPr>
      <w:r>
        <w:rPr>
          <w:sz w:val="22"/>
          <w:szCs w:val="22"/>
        </w:rPr>
        <w:t>Statistik deskriptif pada penelitian ini ditunjukan untuk memberikan kondisi data yang digunakan untuk setiap variabel</w:t>
      </w:r>
    </w:p>
    <w:p w:rsidR="008101AE" w:rsidRDefault="004C5AA8">
      <w:pPr>
        <w:jc w:val="center"/>
        <w:rPr>
          <w:sz w:val="22"/>
          <w:szCs w:val="22"/>
        </w:rPr>
      </w:pPr>
      <w:r>
        <w:rPr>
          <w:b/>
          <w:sz w:val="22"/>
          <w:szCs w:val="22"/>
        </w:rPr>
        <w:t>Tabel 1</w:t>
      </w:r>
    </w:p>
    <w:tbl>
      <w:tblPr>
        <w:tblStyle w:val="a"/>
        <w:tblW w:w="3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1344"/>
        <w:gridCol w:w="357"/>
        <w:gridCol w:w="709"/>
        <w:gridCol w:w="1276"/>
      </w:tblGrid>
      <w:tr w:rsidR="006228B0" w:rsidRPr="006228B0" w:rsidTr="006228B0">
        <w:trPr>
          <w:jc w:val="center"/>
        </w:trPr>
        <w:tc>
          <w:tcPr>
            <w:tcW w:w="3686" w:type="dxa"/>
            <w:gridSpan w:val="4"/>
            <w:tcBorders>
              <w:top w:val="nil"/>
              <w:left w:val="nil"/>
              <w:bottom w:val="nil"/>
              <w:right w:val="nil"/>
            </w:tcBorders>
            <w:shd w:val="clear" w:color="auto" w:fill="FFFFFF" w:themeFill="background1"/>
            <w:vAlign w:val="center"/>
          </w:tcPr>
          <w:p w:rsidR="008101AE" w:rsidRPr="006228B0" w:rsidRDefault="004C5AA8">
            <w:pPr>
              <w:ind w:left="60" w:right="60"/>
              <w:jc w:val="center"/>
            </w:pPr>
            <w:r w:rsidRPr="006228B0">
              <w:rPr>
                <w:b/>
              </w:rPr>
              <w:t>Descriptive Statistics</w:t>
            </w:r>
          </w:p>
        </w:tc>
      </w:tr>
      <w:tr w:rsidR="006228B0" w:rsidRPr="006228B0" w:rsidTr="006228B0">
        <w:trPr>
          <w:jc w:val="center"/>
        </w:trPr>
        <w:tc>
          <w:tcPr>
            <w:tcW w:w="1344" w:type="dxa"/>
            <w:tcBorders>
              <w:top w:val="nil"/>
              <w:left w:val="nil"/>
              <w:bottom w:val="single" w:sz="8" w:space="0" w:color="152935"/>
              <w:right w:val="nil"/>
            </w:tcBorders>
            <w:shd w:val="clear" w:color="auto" w:fill="FFFFFF" w:themeFill="background1"/>
          </w:tcPr>
          <w:p w:rsidR="008101AE" w:rsidRPr="006228B0" w:rsidRDefault="008101AE"/>
        </w:tc>
        <w:tc>
          <w:tcPr>
            <w:tcW w:w="357" w:type="dxa"/>
            <w:tcBorders>
              <w:top w:val="nil"/>
              <w:left w:val="nil"/>
              <w:bottom w:val="single" w:sz="8" w:space="0" w:color="152935"/>
              <w:right w:val="single" w:sz="8" w:space="0" w:color="E0E0E0"/>
            </w:tcBorders>
            <w:shd w:val="clear" w:color="auto" w:fill="FFFFFF" w:themeFill="background1"/>
          </w:tcPr>
          <w:p w:rsidR="008101AE" w:rsidRPr="006228B0" w:rsidRDefault="004C5AA8">
            <w:pPr>
              <w:ind w:left="60" w:right="60"/>
              <w:jc w:val="center"/>
            </w:pPr>
            <w:r w:rsidRPr="006228B0">
              <w:t>N</w:t>
            </w:r>
          </w:p>
        </w:tc>
        <w:tc>
          <w:tcPr>
            <w:tcW w:w="709" w:type="dxa"/>
            <w:tcBorders>
              <w:top w:val="nil"/>
              <w:left w:val="single" w:sz="8" w:space="0" w:color="E0E0E0"/>
              <w:bottom w:val="single" w:sz="8" w:space="0" w:color="152935"/>
              <w:right w:val="single" w:sz="8" w:space="0" w:color="E0E0E0"/>
            </w:tcBorders>
            <w:shd w:val="clear" w:color="auto" w:fill="FFFFFF" w:themeFill="background1"/>
          </w:tcPr>
          <w:p w:rsidR="008101AE" w:rsidRPr="006228B0" w:rsidRDefault="004C5AA8">
            <w:pPr>
              <w:ind w:left="60" w:right="60"/>
              <w:jc w:val="center"/>
            </w:pPr>
            <w:r w:rsidRPr="006228B0">
              <w:t>Mean</w:t>
            </w:r>
          </w:p>
        </w:tc>
        <w:tc>
          <w:tcPr>
            <w:tcW w:w="1276" w:type="dxa"/>
            <w:tcBorders>
              <w:top w:val="nil"/>
              <w:left w:val="single" w:sz="8" w:space="0" w:color="E0E0E0"/>
              <w:bottom w:val="single" w:sz="8" w:space="0" w:color="152935"/>
              <w:right w:val="nil"/>
            </w:tcBorders>
            <w:shd w:val="clear" w:color="auto" w:fill="FFFFFF" w:themeFill="background1"/>
          </w:tcPr>
          <w:p w:rsidR="008101AE" w:rsidRPr="006228B0" w:rsidRDefault="004C5AA8">
            <w:pPr>
              <w:ind w:left="60" w:right="60"/>
              <w:jc w:val="center"/>
            </w:pPr>
            <w:r w:rsidRPr="006228B0">
              <w:t>Std. Deviation</w:t>
            </w:r>
          </w:p>
        </w:tc>
      </w:tr>
      <w:tr w:rsidR="006228B0" w:rsidRPr="006228B0" w:rsidTr="006228B0">
        <w:trPr>
          <w:jc w:val="center"/>
        </w:trPr>
        <w:tc>
          <w:tcPr>
            <w:tcW w:w="1344" w:type="dxa"/>
            <w:tcBorders>
              <w:top w:val="single" w:sz="8" w:space="0" w:color="152935"/>
              <w:left w:val="nil"/>
              <w:bottom w:val="single" w:sz="8" w:space="0" w:color="AEAEAE"/>
              <w:right w:val="nil"/>
            </w:tcBorders>
            <w:shd w:val="clear" w:color="auto" w:fill="FFFFFF" w:themeFill="background1"/>
          </w:tcPr>
          <w:p w:rsidR="008101AE" w:rsidRPr="006228B0" w:rsidRDefault="004C5AA8">
            <w:pPr>
              <w:ind w:left="60" w:right="60"/>
            </w:pPr>
            <w:r w:rsidRPr="006228B0">
              <w:t>KI</w:t>
            </w:r>
          </w:p>
        </w:tc>
        <w:tc>
          <w:tcPr>
            <w:tcW w:w="357" w:type="dxa"/>
            <w:tcBorders>
              <w:top w:val="single" w:sz="8" w:space="0" w:color="152935"/>
              <w:left w:val="nil"/>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152935"/>
              <w:left w:val="single" w:sz="8" w:space="0" w:color="E0E0E0"/>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.3938</w:t>
            </w:r>
          </w:p>
        </w:tc>
        <w:tc>
          <w:tcPr>
            <w:tcW w:w="1276" w:type="dxa"/>
            <w:tcBorders>
              <w:top w:val="single" w:sz="8" w:space="0" w:color="152935"/>
              <w:left w:val="single" w:sz="8" w:space="0" w:color="E0E0E0"/>
              <w:bottom w:val="single" w:sz="8" w:space="0" w:color="AEAEAE"/>
              <w:right w:val="nil"/>
            </w:tcBorders>
            <w:shd w:val="clear" w:color="auto" w:fill="FFFFFF" w:themeFill="background1"/>
          </w:tcPr>
          <w:p w:rsidR="008101AE" w:rsidRPr="006228B0" w:rsidRDefault="004C5AA8">
            <w:pPr>
              <w:ind w:left="60" w:right="60"/>
              <w:jc w:val="right"/>
            </w:pPr>
            <w:r w:rsidRPr="006228B0">
              <w:t>.09407</w:t>
            </w:r>
          </w:p>
        </w:tc>
      </w:tr>
      <w:tr w:rsidR="006228B0" w:rsidRPr="006228B0" w:rsidTr="006228B0">
        <w:trPr>
          <w:jc w:val="center"/>
        </w:trPr>
        <w:tc>
          <w:tcPr>
            <w:tcW w:w="1344" w:type="dxa"/>
            <w:tcBorders>
              <w:top w:val="single" w:sz="8" w:space="0" w:color="AEAEAE"/>
              <w:left w:val="nil"/>
              <w:bottom w:val="single" w:sz="8" w:space="0" w:color="AEAEAE"/>
              <w:right w:val="nil"/>
            </w:tcBorders>
            <w:shd w:val="clear" w:color="auto" w:fill="FFFFFF" w:themeFill="background1"/>
          </w:tcPr>
          <w:p w:rsidR="008101AE" w:rsidRPr="006228B0" w:rsidRDefault="004C5AA8">
            <w:pPr>
              <w:ind w:left="60" w:right="60"/>
            </w:pPr>
            <w:r w:rsidRPr="006228B0">
              <w:t>KA</w:t>
            </w:r>
          </w:p>
        </w:tc>
        <w:tc>
          <w:tcPr>
            <w:tcW w:w="357" w:type="dxa"/>
            <w:tcBorders>
              <w:top w:val="single" w:sz="8" w:space="0" w:color="AEAEAE"/>
              <w:left w:val="nil"/>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3.09</w:t>
            </w:r>
          </w:p>
        </w:tc>
        <w:tc>
          <w:tcPr>
            <w:tcW w:w="1276" w:type="dxa"/>
            <w:tcBorders>
              <w:top w:val="single" w:sz="8" w:space="0" w:color="AEAEAE"/>
              <w:left w:val="single" w:sz="8" w:space="0" w:color="E0E0E0"/>
              <w:bottom w:val="single" w:sz="8" w:space="0" w:color="AEAEAE"/>
              <w:right w:val="nil"/>
            </w:tcBorders>
            <w:shd w:val="clear" w:color="auto" w:fill="FFFFFF" w:themeFill="background1"/>
          </w:tcPr>
          <w:p w:rsidR="008101AE" w:rsidRPr="006228B0" w:rsidRDefault="004C5AA8">
            <w:pPr>
              <w:ind w:left="60" w:right="60"/>
              <w:jc w:val="right"/>
            </w:pPr>
            <w:r w:rsidRPr="006228B0">
              <w:t>.296</w:t>
            </w:r>
          </w:p>
        </w:tc>
      </w:tr>
      <w:tr w:rsidR="006228B0" w:rsidRPr="006228B0" w:rsidTr="006228B0">
        <w:trPr>
          <w:jc w:val="center"/>
        </w:trPr>
        <w:tc>
          <w:tcPr>
            <w:tcW w:w="1344" w:type="dxa"/>
            <w:tcBorders>
              <w:top w:val="single" w:sz="8" w:space="0" w:color="AEAEAE"/>
              <w:left w:val="nil"/>
              <w:bottom w:val="single" w:sz="8" w:space="0" w:color="AEAEAE"/>
              <w:right w:val="nil"/>
            </w:tcBorders>
            <w:shd w:val="clear" w:color="auto" w:fill="FFFFFF" w:themeFill="background1"/>
          </w:tcPr>
          <w:p w:rsidR="008101AE" w:rsidRPr="006228B0" w:rsidRDefault="004C5AA8">
            <w:pPr>
              <w:ind w:left="60" w:right="60"/>
            </w:pPr>
            <w:r w:rsidRPr="006228B0">
              <w:t>KINS</w:t>
            </w:r>
          </w:p>
        </w:tc>
        <w:tc>
          <w:tcPr>
            <w:tcW w:w="357" w:type="dxa"/>
            <w:tcBorders>
              <w:top w:val="single" w:sz="8" w:space="0" w:color="AEAEAE"/>
              <w:left w:val="nil"/>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.6984</w:t>
            </w:r>
          </w:p>
        </w:tc>
        <w:tc>
          <w:tcPr>
            <w:tcW w:w="1276" w:type="dxa"/>
            <w:tcBorders>
              <w:top w:val="single" w:sz="8" w:space="0" w:color="AEAEAE"/>
              <w:left w:val="single" w:sz="8" w:space="0" w:color="E0E0E0"/>
              <w:bottom w:val="single" w:sz="8" w:space="0" w:color="AEAEAE"/>
              <w:right w:val="nil"/>
            </w:tcBorders>
            <w:shd w:val="clear" w:color="auto" w:fill="FFFFFF" w:themeFill="background1"/>
          </w:tcPr>
          <w:p w:rsidR="008101AE" w:rsidRPr="006228B0" w:rsidRDefault="004C5AA8">
            <w:pPr>
              <w:ind w:left="60" w:right="60"/>
              <w:jc w:val="right"/>
            </w:pPr>
            <w:r w:rsidRPr="006228B0">
              <w:t>.21506</w:t>
            </w:r>
          </w:p>
        </w:tc>
      </w:tr>
      <w:tr w:rsidR="006228B0" w:rsidRPr="006228B0" w:rsidTr="006228B0">
        <w:trPr>
          <w:jc w:val="center"/>
        </w:trPr>
        <w:tc>
          <w:tcPr>
            <w:tcW w:w="1344" w:type="dxa"/>
            <w:tcBorders>
              <w:top w:val="single" w:sz="8" w:space="0" w:color="AEAEAE"/>
              <w:left w:val="nil"/>
              <w:bottom w:val="single" w:sz="8" w:space="0" w:color="AEAEAE"/>
              <w:right w:val="nil"/>
            </w:tcBorders>
            <w:shd w:val="clear" w:color="auto" w:fill="FFFFFF" w:themeFill="background1"/>
          </w:tcPr>
          <w:p w:rsidR="008101AE" w:rsidRPr="006228B0" w:rsidRDefault="004C5AA8">
            <w:pPr>
              <w:ind w:left="60" w:right="60"/>
            </w:pPr>
            <w:r w:rsidRPr="006228B0">
              <w:t>CSR</w:t>
            </w:r>
          </w:p>
        </w:tc>
        <w:tc>
          <w:tcPr>
            <w:tcW w:w="357" w:type="dxa"/>
            <w:tcBorders>
              <w:top w:val="single" w:sz="8" w:space="0" w:color="AEAEAE"/>
              <w:left w:val="nil"/>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.3609</w:t>
            </w:r>
          </w:p>
        </w:tc>
        <w:tc>
          <w:tcPr>
            <w:tcW w:w="1276" w:type="dxa"/>
            <w:tcBorders>
              <w:top w:val="single" w:sz="8" w:space="0" w:color="AEAEAE"/>
              <w:left w:val="single" w:sz="8" w:space="0" w:color="E0E0E0"/>
              <w:bottom w:val="single" w:sz="8" w:space="0" w:color="AEAEAE"/>
              <w:right w:val="nil"/>
            </w:tcBorders>
            <w:shd w:val="clear" w:color="auto" w:fill="FFFFFF" w:themeFill="background1"/>
          </w:tcPr>
          <w:p w:rsidR="008101AE" w:rsidRPr="006228B0" w:rsidRDefault="004C5AA8">
            <w:pPr>
              <w:ind w:left="60" w:right="60"/>
              <w:jc w:val="right"/>
            </w:pPr>
            <w:r w:rsidRPr="006228B0">
              <w:t>.06939</w:t>
            </w:r>
          </w:p>
        </w:tc>
      </w:tr>
      <w:tr w:rsidR="006228B0" w:rsidRPr="006228B0" w:rsidTr="006228B0">
        <w:trPr>
          <w:jc w:val="center"/>
        </w:trPr>
        <w:tc>
          <w:tcPr>
            <w:tcW w:w="1344" w:type="dxa"/>
            <w:tcBorders>
              <w:top w:val="single" w:sz="8" w:space="0" w:color="AEAEAE"/>
              <w:left w:val="nil"/>
              <w:bottom w:val="single" w:sz="8" w:space="0" w:color="AEAEAE"/>
              <w:right w:val="nil"/>
            </w:tcBorders>
            <w:shd w:val="clear" w:color="auto" w:fill="FFFFFF" w:themeFill="background1"/>
          </w:tcPr>
          <w:p w:rsidR="008101AE" w:rsidRPr="006228B0" w:rsidRDefault="004C5AA8">
            <w:pPr>
              <w:ind w:left="60" w:right="60"/>
            </w:pPr>
            <w:r w:rsidRPr="006228B0">
              <w:t>ETR</w:t>
            </w:r>
          </w:p>
        </w:tc>
        <w:tc>
          <w:tcPr>
            <w:tcW w:w="357" w:type="dxa"/>
            <w:tcBorders>
              <w:top w:val="single" w:sz="8" w:space="0" w:color="AEAEAE"/>
              <w:left w:val="nil"/>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28B0" w:rsidRDefault="004C5AA8">
            <w:pPr>
              <w:ind w:left="60" w:right="60"/>
              <w:jc w:val="right"/>
            </w:pPr>
            <w:r w:rsidRPr="006228B0">
              <w:t>.2941</w:t>
            </w:r>
          </w:p>
        </w:tc>
        <w:tc>
          <w:tcPr>
            <w:tcW w:w="1276" w:type="dxa"/>
            <w:tcBorders>
              <w:top w:val="single" w:sz="8" w:space="0" w:color="AEAEAE"/>
              <w:left w:val="single" w:sz="8" w:space="0" w:color="E0E0E0"/>
              <w:bottom w:val="single" w:sz="8" w:space="0" w:color="AEAEAE"/>
              <w:right w:val="nil"/>
            </w:tcBorders>
            <w:shd w:val="clear" w:color="auto" w:fill="FFFFFF" w:themeFill="background1"/>
          </w:tcPr>
          <w:p w:rsidR="008101AE" w:rsidRPr="006228B0" w:rsidRDefault="004C5AA8">
            <w:pPr>
              <w:ind w:left="60" w:right="60"/>
              <w:jc w:val="right"/>
            </w:pPr>
            <w:r w:rsidRPr="006228B0">
              <w:t>.10580</w:t>
            </w:r>
          </w:p>
        </w:tc>
      </w:tr>
      <w:tr w:rsidR="006228B0" w:rsidRPr="006228B0" w:rsidTr="006228B0">
        <w:trPr>
          <w:trHeight w:val="114"/>
          <w:jc w:val="center"/>
        </w:trPr>
        <w:tc>
          <w:tcPr>
            <w:tcW w:w="1344" w:type="dxa"/>
            <w:tcBorders>
              <w:top w:val="single" w:sz="8" w:space="0" w:color="AEAEAE"/>
              <w:left w:val="nil"/>
              <w:bottom w:val="single" w:sz="8" w:space="0" w:color="152935"/>
              <w:right w:val="nil"/>
            </w:tcBorders>
            <w:shd w:val="clear" w:color="auto" w:fill="FFFFFF" w:themeFill="background1"/>
          </w:tcPr>
          <w:p w:rsidR="008101AE" w:rsidRPr="006228B0" w:rsidRDefault="004C5AA8">
            <w:pPr>
              <w:ind w:left="60" w:right="60"/>
            </w:pPr>
            <w:r w:rsidRPr="006228B0">
              <w:t>Valid N (listwise)</w:t>
            </w:r>
          </w:p>
        </w:tc>
        <w:tc>
          <w:tcPr>
            <w:tcW w:w="357" w:type="dxa"/>
            <w:tcBorders>
              <w:top w:val="single" w:sz="8" w:space="0" w:color="AEAEAE"/>
              <w:left w:val="nil"/>
              <w:bottom w:val="single" w:sz="8" w:space="0" w:color="152935"/>
              <w:right w:val="single" w:sz="8" w:space="0" w:color="E0E0E0"/>
            </w:tcBorders>
            <w:shd w:val="clear" w:color="auto" w:fill="FFFFFF" w:themeFill="background1"/>
          </w:tcPr>
          <w:p w:rsidR="008101AE" w:rsidRPr="006228B0" w:rsidRDefault="004C5AA8">
            <w:pPr>
              <w:ind w:left="60" w:right="60"/>
              <w:jc w:val="right"/>
            </w:pPr>
            <w:r w:rsidRPr="006228B0">
              <w:t>32</w:t>
            </w:r>
          </w:p>
        </w:tc>
        <w:tc>
          <w:tcPr>
            <w:tcW w:w="709" w:type="dxa"/>
            <w:tcBorders>
              <w:top w:val="single" w:sz="8" w:space="0" w:color="AEAEAE"/>
              <w:left w:val="single" w:sz="8" w:space="0" w:color="E0E0E0"/>
              <w:bottom w:val="single" w:sz="8" w:space="0" w:color="152935"/>
              <w:right w:val="single" w:sz="8" w:space="0" w:color="E0E0E0"/>
            </w:tcBorders>
            <w:shd w:val="clear" w:color="auto" w:fill="FFFFFF" w:themeFill="background1"/>
            <w:vAlign w:val="center"/>
          </w:tcPr>
          <w:p w:rsidR="008101AE" w:rsidRPr="006228B0" w:rsidRDefault="008101AE"/>
        </w:tc>
        <w:tc>
          <w:tcPr>
            <w:tcW w:w="1276" w:type="dxa"/>
            <w:tcBorders>
              <w:top w:val="single" w:sz="8" w:space="0" w:color="AEAEAE"/>
              <w:left w:val="single" w:sz="8" w:space="0" w:color="E0E0E0"/>
              <w:bottom w:val="single" w:sz="8" w:space="0" w:color="152935"/>
              <w:right w:val="nil"/>
            </w:tcBorders>
            <w:shd w:val="clear" w:color="auto" w:fill="FFFFFF" w:themeFill="background1"/>
            <w:vAlign w:val="center"/>
          </w:tcPr>
          <w:p w:rsidR="008101AE" w:rsidRPr="006228B0" w:rsidRDefault="008101AE"/>
        </w:tc>
      </w:tr>
    </w:tbl>
    <w:p w:rsidR="008101AE" w:rsidRDefault="004C5AA8" w:rsidP="006228B0">
      <w:pPr>
        <w:jc w:val="center"/>
        <w:rPr>
          <w:sz w:val="22"/>
          <w:szCs w:val="22"/>
        </w:rPr>
      </w:pPr>
      <w:proofErr w:type="gramStart"/>
      <w:r>
        <w:rPr>
          <w:sz w:val="22"/>
          <w:szCs w:val="22"/>
        </w:rPr>
        <w:t>Sumber :</w:t>
      </w:r>
      <w:proofErr w:type="gramEnd"/>
      <w:r>
        <w:rPr>
          <w:sz w:val="22"/>
          <w:szCs w:val="22"/>
        </w:rPr>
        <w:t xml:space="preserve"> Data Olahan SPSS 25</w:t>
      </w:r>
    </w:p>
    <w:p w:rsidR="008101AE" w:rsidRDefault="004C5AA8">
      <w:pPr>
        <w:jc w:val="both"/>
        <w:rPr>
          <w:sz w:val="22"/>
          <w:szCs w:val="22"/>
        </w:rPr>
      </w:pPr>
      <w:r>
        <w:rPr>
          <w:b/>
          <w:sz w:val="22"/>
          <w:szCs w:val="22"/>
        </w:rPr>
        <w:lastRenderedPageBreak/>
        <w:t>Hasil Uji Normalitas</w:t>
      </w:r>
    </w:p>
    <w:p w:rsidR="008101AE" w:rsidRDefault="004C5AA8">
      <w:pPr>
        <w:jc w:val="both"/>
        <w:rPr>
          <w:sz w:val="22"/>
          <w:szCs w:val="22"/>
        </w:rPr>
      </w:pPr>
      <w:r>
        <w:rPr>
          <w:b/>
          <w:sz w:val="22"/>
          <w:szCs w:val="22"/>
        </w:rPr>
        <w:tab/>
      </w:r>
      <w:proofErr w:type="gramStart"/>
      <w:r>
        <w:rPr>
          <w:sz w:val="22"/>
          <w:szCs w:val="22"/>
        </w:rPr>
        <w:t>Uji normalitas adalah untuk melihat apakah nilai residual terdistribusi normal atau tidak.</w:t>
      </w:r>
      <w:proofErr w:type="gramEnd"/>
      <w:r>
        <w:rPr>
          <w:sz w:val="22"/>
          <w:szCs w:val="22"/>
        </w:rPr>
        <w:t xml:space="preserve"> Pengujian normalitas dalam penelitian ini menggunakan pendekatan Kolmogorov Smirnov Test. Hasil uji normalitas pada variabel independen dan dependen disajikan pada tabel 2 </w:t>
      </w:r>
      <w:proofErr w:type="gramStart"/>
      <w:r>
        <w:rPr>
          <w:sz w:val="22"/>
          <w:szCs w:val="22"/>
        </w:rPr>
        <w:t>berikut :</w:t>
      </w:r>
      <w:proofErr w:type="gramEnd"/>
    </w:p>
    <w:p w:rsidR="008101AE" w:rsidRDefault="004C5AA8">
      <w:pPr>
        <w:jc w:val="center"/>
        <w:rPr>
          <w:sz w:val="22"/>
          <w:szCs w:val="22"/>
        </w:rPr>
      </w:pPr>
      <w:r>
        <w:rPr>
          <w:b/>
          <w:sz w:val="22"/>
          <w:szCs w:val="22"/>
        </w:rPr>
        <w:t>Tabel 2</w:t>
      </w:r>
    </w:p>
    <w:p w:rsidR="008101AE" w:rsidRDefault="004C5AA8">
      <w:pPr>
        <w:jc w:val="center"/>
        <w:rPr>
          <w:sz w:val="22"/>
          <w:szCs w:val="22"/>
        </w:rPr>
      </w:pPr>
      <w:r>
        <w:rPr>
          <w:b/>
          <w:sz w:val="22"/>
          <w:szCs w:val="22"/>
        </w:rPr>
        <w:t>Hasil Uji Normalitas</w:t>
      </w:r>
    </w:p>
    <w:tbl>
      <w:tblPr>
        <w:tblStyle w:val="a0"/>
        <w:tblW w:w="45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2431"/>
        <w:gridCol w:w="945"/>
        <w:gridCol w:w="1171"/>
      </w:tblGrid>
      <w:tr w:rsidR="00625B6E" w:rsidRPr="00625B6E" w:rsidTr="00625B6E">
        <w:trPr>
          <w:jc w:val="center"/>
        </w:trPr>
        <w:tc>
          <w:tcPr>
            <w:tcW w:w="4547" w:type="dxa"/>
            <w:gridSpan w:val="3"/>
            <w:tcBorders>
              <w:top w:val="nil"/>
              <w:left w:val="nil"/>
              <w:bottom w:val="nil"/>
              <w:right w:val="nil"/>
            </w:tcBorders>
            <w:shd w:val="clear" w:color="auto" w:fill="FFFFFF" w:themeFill="background1"/>
            <w:vAlign w:val="center"/>
          </w:tcPr>
          <w:p w:rsidR="008101AE" w:rsidRPr="00625B6E" w:rsidRDefault="004C5AA8">
            <w:pPr>
              <w:ind w:left="60" w:right="60"/>
              <w:jc w:val="center"/>
            </w:pPr>
            <w:r w:rsidRPr="00625B6E">
              <w:rPr>
                <w:b/>
              </w:rPr>
              <w:t>One-Sample Kolmogorov-Smirnov Test</w:t>
            </w:r>
          </w:p>
          <w:p w:rsidR="008101AE" w:rsidRPr="00625B6E" w:rsidRDefault="004C5AA8">
            <w:pPr>
              <w:ind w:left="60" w:right="60"/>
              <w:jc w:val="center"/>
            </w:pPr>
            <w:r w:rsidRPr="00625B6E">
              <w:t>Unstandardized Residual</w:t>
            </w:r>
          </w:p>
        </w:tc>
      </w:tr>
      <w:tr w:rsidR="00625B6E" w:rsidRPr="00625B6E" w:rsidTr="00625B6E">
        <w:trPr>
          <w:jc w:val="center"/>
        </w:trPr>
        <w:tc>
          <w:tcPr>
            <w:tcW w:w="3376" w:type="dxa"/>
            <w:gridSpan w:val="2"/>
            <w:tcBorders>
              <w:top w:val="nil"/>
              <w:left w:val="nil"/>
              <w:bottom w:val="single" w:sz="8" w:space="0" w:color="152935"/>
              <w:right w:val="nil"/>
            </w:tcBorders>
            <w:shd w:val="clear" w:color="auto" w:fill="FFFFFF" w:themeFill="background1"/>
          </w:tcPr>
          <w:p w:rsidR="008101AE" w:rsidRPr="00625B6E" w:rsidRDefault="008101AE"/>
        </w:tc>
        <w:tc>
          <w:tcPr>
            <w:tcW w:w="1171" w:type="dxa"/>
            <w:tcBorders>
              <w:top w:val="nil"/>
              <w:left w:val="nil"/>
              <w:bottom w:val="single" w:sz="8" w:space="0" w:color="152935"/>
              <w:right w:val="nil"/>
            </w:tcBorders>
            <w:shd w:val="clear" w:color="auto" w:fill="FFFFFF" w:themeFill="background1"/>
          </w:tcPr>
          <w:p w:rsidR="008101AE" w:rsidRPr="00625B6E" w:rsidRDefault="008101AE">
            <w:pPr>
              <w:ind w:left="-351" w:right="60"/>
              <w:jc w:val="center"/>
            </w:pPr>
          </w:p>
        </w:tc>
      </w:tr>
      <w:tr w:rsidR="00625B6E" w:rsidRPr="00625B6E" w:rsidTr="00625B6E">
        <w:trPr>
          <w:jc w:val="center"/>
        </w:trPr>
        <w:tc>
          <w:tcPr>
            <w:tcW w:w="3376" w:type="dxa"/>
            <w:gridSpan w:val="2"/>
            <w:tcBorders>
              <w:top w:val="single" w:sz="8" w:space="0" w:color="152935"/>
              <w:left w:val="nil"/>
              <w:bottom w:val="single" w:sz="8" w:space="0" w:color="AEAEAE"/>
              <w:right w:val="nil"/>
            </w:tcBorders>
            <w:shd w:val="clear" w:color="auto" w:fill="FFFFFF" w:themeFill="background1"/>
          </w:tcPr>
          <w:p w:rsidR="008101AE" w:rsidRPr="00625B6E" w:rsidRDefault="004C5AA8">
            <w:pPr>
              <w:ind w:left="60" w:right="60"/>
            </w:pPr>
            <w:r w:rsidRPr="00625B6E">
              <w:t>N</w:t>
            </w:r>
          </w:p>
        </w:tc>
        <w:tc>
          <w:tcPr>
            <w:tcW w:w="1171" w:type="dxa"/>
            <w:tcBorders>
              <w:top w:val="single" w:sz="8" w:space="0" w:color="152935"/>
              <w:left w:val="nil"/>
              <w:bottom w:val="single" w:sz="8" w:space="0" w:color="AEAEAE"/>
              <w:right w:val="nil"/>
            </w:tcBorders>
            <w:shd w:val="clear" w:color="auto" w:fill="FFFFFF" w:themeFill="background1"/>
          </w:tcPr>
          <w:p w:rsidR="008101AE" w:rsidRPr="00625B6E" w:rsidRDefault="004C5AA8">
            <w:pPr>
              <w:ind w:left="60" w:right="60"/>
              <w:jc w:val="right"/>
            </w:pPr>
            <w:r w:rsidRPr="00625B6E">
              <w:t>32</w:t>
            </w:r>
          </w:p>
        </w:tc>
      </w:tr>
      <w:tr w:rsidR="00625B6E" w:rsidRPr="00625B6E" w:rsidTr="00625B6E">
        <w:trPr>
          <w:jc w:val="center"/>
        </w:trPr>
        <w:tc>
          <w:tcPr>
            <w:tcW w:w="2431" w:type="dxa"/>
            <w:vMerge w:val="restart"/>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Normal Parameters</w:t>
            </w:r>
            <w:r w:rsidRPr="00625B6E">
              <w:rPr>
                <w:vertAlign w:val="superscript"/>
              </w:rPr>
              <w:t>a,b</w:t>
            </w:r>
          </w:p>
        </w:tc>
        <w:tc>
          <w:tcPr>
            <w:tcW w:w="945"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Mean</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.0000000</w:t>
            </w:r>
          </w:p>
        </w:tc>
      </w:tr>
      <w:tr w:rsidR="00625B6E" w:rsidRPr="00625B6E" w:rsidTr="00625B6E">
        <w:trPr>
          <w:jc w:val="center"/>
        </w:trPr>
        <w:tc>
          <w:tcPr>
            <w:tcW w:w="2431" w:type="dxa"/>
            <w:vMerge/>
            <w:tcBorders>
              <w:top w:val="single" w:sz="8" w:space="0" w:color="AEAEAE"/>
              <w:left w:val="nil"/>
              <w:bottom w:val="single" w:sz="8" w:space="0" w:color="AEAEAE"/>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945"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Std. Deviation</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.08767887</w:t>
            </w:r>
          </w:p>
        </w:tc>
      </w:tr>
      <w:tr w:rsidR="00625B6E" w:rsidRPr="00625B6E" w:rsidTr="00625B6E">
        <w:trPr>
          <w:jc w:val="center"/>
        </w:trPr>
        <w:tc>
          <w:tcPr>
            <w:tcW w:w="2431" w:type="dxa"/>
            <w:vMerge w:val="restart"/>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Most Extreme Differences</w:t>
            </w:r>
          </w:p>
        </w:tc>
        <w:tc>
          <w:tcPr>
            <w:tcW w:w="945"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Absolute</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.083</w:t>
            </w:r>
          </w:p>
        </w:tc>
      </w:tr>
      <w:tr w:rsidR="00625B6E" w:rsidRPr="00625B6E" w:rsidTr="00625B6E">
        <w:trPr>
          <w:jc w:val="center"/>
        </w:trPr>
        <w:tc>
          <w:tcPr>
            <w:tcW w:w="2431" w:type="dxa"/>
            <w:vMerge/>
            <w:tcBorders>
              <w:top w:val="single" w:sz="8" w:space="0" w:color="AEAEAE"/>
              <w:left w:val="nil"/>
              <w:bottom w:val="single" w:sz="8" w:space="0" w:color="AEAEAE"/>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945"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Positive</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.083</w:t>
            </w:r>
          </w:p>
        </w:tc>
      </w:tr>
      <w:tr w:rsidR="00625B6E" w:rsidRPr="00625B6E" w:rsidTr="00625B6E">
        <w:trPr>
          <w:jc w:val="center"/>
        </w:trPr>
        <w:tc>
          <w:tcPr>
            <w:tcW w:w="2431" w:type="dxa"/>
            <w:vMerge/>
            <w:tcBorders>
              <w:top w:val="single" w:sz="8" w:space="0" w:color="AEAEAE"/>
              <w:left w:val="nil"/>
              <w:bottom w:val="single" w:sz="8" w:space="0" w:color="AEAEAE"/>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945"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Negative</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-.057</w:t>
            </w:r>
          </w:p>
        </w:tc>
      </w:tr>
      <w:tr w:rsidR="00625B6E" w:rsidRPr="00625B6E" w:rsidTr="00625B6E">
        <w:trPr>
          <w:jc w:val="center"/>
        </w:trPr>
        <w:tc>
          <w:tcPr>
            <w:tcW w:w="3376" w:type="dxa"/>
            <w:gridSpan w:val="2"/>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Test Statistic</w:t>
            </w:r>
          </w:p>
        </w:tc>
        <w:tc>
          <w:tcPr>
            <w:tcW w:w="1171"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jc w:val="right"/>
            </w:pPr>
            <w:r w:rsidRPr="00625B6E">
              <w:t>.083</w:t>
            </w:r>
          </w:p>
        </w:tc>
      </w:tr>
      <w:tr w:rsidR="00625B6E" w:rsidRPr="00625B6E" w:rsidTr="00625B6E">
        <w:trPr>
          <w:jc w:val="center"/>
        </w:trPr>
        <w:tc>
          <w:tcPr>
            <w:tcW w:w="3376" w:type="dxa"/>
            <w:gridSpan w:val="2"/>
            <w:tcBorders>
              <w:top w:val="single" w:sz="8" w:space="0" w:color="AEAEAE"/>
              <w:left w:val="nil"/>
              <w:bottom w:val="single" w:sz="8" w:space="0" w:color="152935"/>
              <w:right w:val="nil"/>
            </w:tcBorders>
            <w:shd w:val="clear" w:color="auto" w:fill="FFFFFF" w:themeFill="background1"/>
          </w:tcPr>
          <w:p w:rsidR="008101AE" w:rsidRPr="00625B6E" w:rsidRDefault="004C5AA8">
            <w:pPr>
              <w:ind w:left="60" w:right="60"/>
            </w:pPr>
            <w:r w:rsidRPr="00625B6E">
              <w:t>Asymp. Sig. (2-tailed)</w:t>
            </w:r>
          </w:p>
        </w:tc>
        <w:tc>
          <w:tcPr>
            <w:tcW w:w="1171" w:type="dxa"/>
            <w:tcBorders>
              <w:top w:val="single" w:sz="8" w:space="0" w:color="AEAEAE"/>
              <w:left w:val="nil"/>
              <w:bottom w:val="single" w:sz="8" w:space="0" w:color="152935"/>
              <w:right w:val="nil"/>
            </w:tcBorders>
            <w:shd w:val="clear" w:color="auto" w:fill="FFFFFF" w:themeFill="background1"/>
          </w:tcPr>
          <w:p w:rsidR="008101AE" w:rsidRPr="00625B6E" w:rsidRDefault="004C5AA8">
            <w:pPr>
              <w:ind w:left="60" w:right="60"/>
              <w:jc w:val="right"/>
            </w:pPr>
            <w:r w:rsidRPr="00625B6E">
              <w:t>.200</w:t>
            </w:r>
            <w:r w:rsidRPr="00625B6E">
              <w:rPr>
                <w:vertAlign w:val="superscript"/>
              </w:rPr>
              <w:t>c,d</w:t>
            </w:r>
          </w:p>
        </w:tc>
      </w:tr>
      <w:tr w:rsidR="00625B6E" w:rsidRPr="00625B6E" w:rsidTr="00625B6E">
        <w:trPr>
          <w:jc w:val="center"/>
        </w:trPr>
        <w:tc>
          <w:tcPr>
            <w:tcW w:w="4547" w:type="dxa"/>
            <w:gridSpan w:val="3"/>
            <w:tcBorders>
              <w:top w:val="nil"/>
              <w:left w:val="nil"/>
              <w:bottom w:val="nil"/>
              <w:right w:val="nil"/>
            </w:tcBorders>
            <w:shd w:val="clear" w:color="auto" w:fill="FFFFFF" w:themeFill="background1"/>
          </w:tcPr>
          <w:p w:rsidR="008101AE" w:rsidRPr="00625B6E" w:rsidRDefault="004C5AA8">
            <w:pPr>
              <w:ind w:left="60" w:right="60"/>
            </w:pPr>
            <w:r w:rsidRPr="00625B6E">
              <w:t>a. Test distribution is Normal.</w:t>
            </w:r>
          </w:p>
        </w:tc>
      </w:tr>
      <w:tr w:rsidR="00625B6E" w:rsidRPr="00625B6E" w:rsidTr="00625B6E">
        <w:trPr>
          <w:jc w:val="center"/>
        </w:trPr>
        <w:tc>
          <w:tcPr>
            <w:tcW w:w="4547" w:type="dxa"/>
            <w:gridSpan w:val="3"/>
            <w:tcBorders>
              <w:top w:val="nil"/>
              <w:left w:val="nil"/>
              <w:bottom w:val="nil"/>
              <w:right w:val="nil"/>
            </w:tcBorders>
            <w:shd w:val="clear" w:color="auto" w:fill="FFFFFF" w:themeFill="background1"/>
          </w:tcPr>
          <w:p w:rsidR="008101AE" w:rsidRPr="00625B6E" w:rsidRDefault="004C5AA8">
            <w:pPr>
              <w:ind w:left="60" w:right="60"/>
            </w:pPr>
            <w:r w:rsidRPr="00625B6E">
              <w:t>b. Calculated from data.</w:t>
            </w:r>
          </w:p>
        </w:tc>
      </w:tr>
      <w:tr w:rsidR="00625B6E" w:rsidRPr="00625B6E" w:rsidTr="00625B6E">
        <w:trPr>
          <w:jc w:val="center"/>
        </w:trPr>
        <w:tc>
          <w:tcPr>
            <w:tcW w:w="4547" w:type="dxa"/>
            <w:gridSpan w:val="3"/>
            <w:tcBorders>
              <w:top w:val="nil"/>
              <w:left w:val="nil"/>
              <w:bottom w:val="nil"/>
              <w:right w:val="nil"/>
            </w:tcBorders>
            <w:shd w:val="clear" w:color="auto" w:fill="FFFFFF" w:themeFill="background1"/>
          </w:tcPr>
          <w:p w:rsidR="008101AE" w:rsidRPr="00625B6E" w:rsidRDefault="004C5AA8">
            <w:pPr>
              <w:ind w:left="60" w:right="60"/>
            </w:pPr>
            <w:proofErr w:type="gramStart"/>
            <w:r w:rsidRPr="00625B6E">
              <w:t>c</w:t>
            </w:r>
            <w:proofErr w:type="gramEnd"/>
            <w:r w:rsidRPr="00625B6E">
              <w:t>. Lilliefors Significance Correction.</w:t>
            </w:r>
          </w:p>
        </w:tc>
      </w:tr>
      <w:tr w:rsidR="00625B6E" w:rsidRPr="00625B6E" w:rsidTr="00625B6E">
        <w:trPr>
          <w:jc w:val="center"/>
        </w:trPr>
        <w:tc>
          <w:tcPr>
            <w:tcW w:w="4547" w:type="dxa"/>
            <w:gridSpan w:val="3"/>
            <w:tcBorders>
              <w:top w:val="nil"/>
              <w:left w:val="nil"/>
              <w:bottom w:val="nil"/>
              <w:right w:val="nil"/>
            </w:tcBorders>
            <w:shd w:val="clear" w:color="auto" w:fill="FFFFFF" w:themeFill="background1"/>
          </w:tcPr>
          <w:p w:rsidR="008101AE" w:rsidRPr="00625B6E" w:rsidRDefault="004C5AA8">
            <w:pPr>
              <w:ind w:left="60" w:right="60"/>
            </w:pPr>
            <w:r w:rsidRPr="00625B6E">
              <w:t>d. This is a lower bound of the true significance.</w:t>
            </w:r>
          </w:p>
        </w:tc>
      </w:tr>
    </w:tbl>
    <w:p w:rsidR="008101AE" w:rsidRDefault="004C5AA8" w:rsidP="00625B6E">
      <w:pPr>
        <w:jc w:val="center"/>
        <w:rPr>
          <w:sz w:val="22"/>
          <w:szCs w:val="22"/>
        </w:rPr>
      </w:pPr>
      <w:proofErr w:type="gramStart"/>
      <w:r>
        <w:rPr>
          <w:sz w:val="22"/>
          <w:szCs w:val="22"/>
        </w:rPr>
        <w:t>Sumber :</w:t>
      </w:r>
      <w:proofErr w:type="gramEnd"/>
      <w:r>
        <w:rPr>
          <w:sz w:val="22"/>
          <w:szCs w:val="22"/>
        </w:rPr>
        <w:t xml:space="preserve"> Data Olahan SPSS 25</w:t>
      </w:r>
    </w:p>
    <w:p w:rsidR="008101AE" w:rsidRDefault="004C5AA8">
      <w:pPr>
        <w:jc w:val="both"/>
        <w:rPr>
          <w:sz w:val="22"/>
          <w:szCs w:val="22"/>
        </w:rPr>
      </w:pPr>
      <w:r>
        <w:rPr>
          <w:sz w:val="22"/>
          <w:szCs w:val="22"/>
        </w:rPr>
        <w:tab/>
        <w:t>Tabel diatas menunjukkan bahwa nilai Asymp Sig Kolmogorv Smirnov kebih besar dari 0</w:t>
      </w:r>
      <w:proofErr w:type="gramStart"/>
      <w:r>
        <w:rPr>
          <w:sz w:val="22"/>
          <w:szCs w:val="22"/>
        </w:rPr>
        <w:t>,05</w:t>
      </w:r>
      <w:proofErr w:type="gramEnd"/>
      <w:r>
        <w:rPr>
          <w:sz w:val="22"/>
          <w:szCs w:val="22"/>
        </w:rPr>
        <w:t xml:space="preserve">. </w:t>
      </w:r>
      <w:proofErr w:type="gramStart"/>
      <w:r>
        <w:rPr>
          <w:sz w:val="22"/>
          <w:szCs w:val="22"/>
        </w:rPr>
        <w:t>Dengan demikian bahwa keseluruhan data yang digunakan dalam penelitian ini berdistribbusi secara normal.</w:t>
      </w:r>
      <w:proofErr w:type="gramEnd"/>
    </w:p>
    <w:p w:rsidR="008101AE" w:rsidRDefault="008101AE">
      <w:pPr>
        <w:jc w:val="both"/>
        <w:rPr>
          <w:sz w:val="22"/>
          <w:szCs w:val="22"/>
        </w:rPr>
      </w:pPr>
    </w:p>
    <w:p w:rsidR="008101AE" w:rsidRDefault="004C5AA8">
      <w:pPr>
        <w:jc w:val="both"/>
        <w:rPr>
          <w:sz w:val="22"/>
          <w:szCs w:val="22"/>
        </w:rPr>
      </w:pPr>
      <w:r>
        <w:rPr>
          <w:b/>
          <w:sz w:val="22"/>
          <w:szCs w:val="22"/>
        </w:rPr>
        <w:t>Hasil Multikolinearitas</w:t>
      </w:r>
    </w:p>
    <w:p w:rsidR="008101AE" w:rsidRDefault="004C5AA8">
      <w:pPr>
        <w:jc w:val="both"/>
        <w:rPr>
          <w:sz w:val="22"/>
          <w:szCs w:val="22"/>
        </w:rPr>
      </w:pPr>
      <w:r>
        <w:rPr>
          <w:sz w:val="22"/>
          <w:szCs w:val="22"/>
        </w:rPr>
        <w:tab/>
      </w:r>
      <w:proofErr w:type="gramStart"/>
      <w:r>
        <w:rPr>
          <w:sz w:val="22"/>
          <w:szCs w:val="22"/>
        </w:rPr>
        <w:t>Uji multikolinearitas dilakukan dengan matriks korelasi dengan melihat besarnya nilai VIF (Variance Inflation Factor) dan nilai tolerance.</w:t>
      </w:r>
      <w:proofErr w:type="gramEnd"/>
      <w:r>
        <w:rPr>
          <w:sz w:val="22"/>
          <w:szCs w:val="22"/>
        </w:rPr>
        <w:t xml:space="preserve"> Suatu model regresi yang bebas dari multikolinearitas memiliki nilai VIF yang tidak melebihi dari 10 dan nilai tolerance dari 0</w:t>
      </w:r>
      <w:proofErr w:type="gramStart"/>
      <w:r>
        <w:rPr>
          <w:sz w:val="22"/>
          <w:szCs w:val="22"/>
        </w:rPr>
        <w:t>,10</w:t>
      </w:r>
      <w:proofErr w:type="gramEnd"/>
      <w:r>
        <w:rPr>
          <w:sz w:val="22"/>
          <w:szCs w:val="22"/>
        </w:rPr>
        <w:t xml:space="preserve">. </w:t>
      </w:r>
      <w:proofErr w:type="gramStart"/>
      <w:r>
        <w:rPr>
          <w:sz w:val="22"/>
          <w:szCs w:val="22"/>
        </w:rPr>
        <w:t>Hasil uji multikolinearitas dala penelitian ini dapat dilihat pada tabel 3.</w:t>
      </w:r>
      <w:proofErr w:type="gramEnd"/>
    </w:p>
    <w:p w:rsidR="008101AE" w:rsidRDefault="004C5AA8">
      <w:pPr>
        <w:jc w:val="center"/>
        <w:rPr>
          <w:sz w:val="22"/>
          <w:szCs w:val="22"/>
        </w:rPr>
      </w:pPr>
      <w:r>
        <w:rPr>
          <w:b/>
          <w:sz w:val="22"/>
          <w:szCs w:val="22"/>
        </w:rPr>
        <w:t>Tabel 3</w:t>
      </w:r>
    </w:p>
    <w:tbl>
      <w:tblPr>
        <w:tblStyle w:val="a1"/>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4"/>
        <w:gridCol w:w="1210"/>
        <w:gridCol w:w="1161"/>
        <w:gridCol w:w="986"/>
      </w:tblGrid>
      <w:tr w:rsidR="006228B0" w:rsidRPr="006228B0" w:rsidTr="006228B0">
        <w:trPr>
          <w:jc w:val="center"/>
        </w:trPr>
        <w:tc>
          <w:tcPr>
            <w:tcW w:w="4111" w:type="dxa"/>
            <w:gridSpan w:val="4"/>
            <w:tcBorders>
              <w:top w:val="nil"/>
              <w:left w:val="nil"/>
              <w:bottom w:val="nil"/>
              <w:right w:val="nil"/>
            </w:tcBorders>
            <w:shd w:val="clear" w:color="auto" w:fill="FFFFFF"/>
            <w:vAlign w:val="center"/>
          </w:tcPr>
          <w:p w:rsidR="008101AE" w:rsidRPr="006228B0" w:rsidRDefault="004C5AA8">
            <w:pPr>
              <w:ind w:left="60" w:right="60"/>
            </w:pPr>
            <w:r w:rsidRPr="006228B0">
              <w:rPr>
                <w:b/>
              </w:rPr>
              <w:t xml:space="preserve">                          Coefficients</w:t>
            </w:r>
            <w:r w:rsidRPr="006228B0">
              <w:rPr>
                <w:b/>
                <w:vertAlign w:val="superscript"/>
              </w:rPr>
              <w:t>a</w:t>
            </w:r>
          </w:p>
        </w:tc>
      </w:tr>
      <w:tr w:rsidR="006228B0" w:rsidRPr="006228B0" w:rsidTr="006228B0">
        <w:trPr>
          <w:jc w:val="center"/>
        </w:trPr>
        <w:tc>
          <w:tcPr>
            <w:tcW w:w="1964" w:type="dxa"/>
            <w:gridSpan w:val="2"/>
            <w:vMerge w:val="restart"/>
            <w:tcBorders>
              <w:top w:val="nil"/>
              <w:left w:val="nil"/>
              <w:bottom w:val="nil"/>
              <w:right w:val="nil"/>
            </w:tcBorders>
            <w:shd w:val="clear" w:color="auto" w:fill="FFFFFF"/>
          </w:tcPr>
          <w:p w:rsidR="008101AE" w:rsidRPr="006228B0" w:rsidRDefault="004C5AA8">
            <w:pPr>
              <w:ind w:left="60" w:right="60"/>
            </w:pPr>
            <w:r w:rsidRPr="006228B0">
              <w:t>Model</w:t>
            </w:r>
          </w:p>
        </w:tc>
        <w:tc>
          <w:tcPr>
            <w:tcW w:w="2147" w:type="dxa"/>
            <w:gridSpan w:val="2"/>
            <w:tcBorders>
              <w:top w:val="nil"/>
              <w:left w:val="single" w:sz="8" w:space="0" w:color="E0E0E0"/>
              <w:bottom w:val="nil"/>
              <w:right w:val="nil"/>
            </w:tcBorders>
            <w:shd w:val="clear" w:color="auto" w:fill="FFFFFF"/>
          </w:tcPr>
          <w:p w:rsidR="008101AE" w:rsidRPr="006228B0" w:rsidRDefault="004C5AA8">
            <w:pPr>
              <w:ind w:left="60" w:right="60"/>
              <w:jc w:val="center"/>
            </w:pPr>
            <w:r w:rsidRPr="006228B0">
              <w:t>Collinearity Statistics</w:t>
            </w:r>
          </w:p>
        </w:tc>
      </w:tr>
      <w:tr w:rsidR="006228B0" w:rsidRPr="006228B0" w:rsidTr="006228B0">
        <w:trPr>
          <w:jc w:val="center"/>
        </w:trPr>
        <w:tc>
          <w:tcPr>
            <w:tcW w:w="1964" w:type="dxa"/>
            <w:gridSpan w:val="2"/>
            <w:vMerge/>
            <w:tcBorders>
              <w:top w:val="nil"/>
              <w:left w:val="nil"/>
              <w:bottom w:val="nil"/>
              <w:right w:val="nil"/>
            </w:tcBorders>
            <w:shd w:val="clear" w:color="auto" w:fill="FFFFFF"/>
          </w:tcPr>
          <w:p w:rsidR="008101AE" w:rsidRPr="006228B0" w:rsidRDefault="008101AE">
            <w:pPr>
              <w:widowControl w:val="0"/>
              <w:pBdr>
                <w:top w:val="nil"/>
                <w:left w:val="nil"/>
                <w:bottom w:val="nil"/>
                <w:right w:val="nil"/>
                <w:between w:val="nil"/>
              </w:pBdr>
              <w:spacing w:line="276" w:lineRule="auto"/>
            </w:pPr>
          </w:p>
        </w:tc>
        <w:tc>
          <w:tcPr>
            <w:tcW w:w="1161" w:type="dxa"/>
            <w:tcBorders>
              <w:top w:val="nil"/>
              <w:left w:val="single" w:sz="8" w:space="0" w:color="E0E0E0"/>
              <w:bottom w:val="single" w:sz="8" w:space="0" w:color="152935"/>
              <w:right w:val="single" w:sz="8" w:space="0" w:color="E0E0E0"/>
            </w:tcBorders>
            <w:shd w:val="clear" w:color="auto" w:fill="FFFFFF"/>
          </w:tcPr>
          <w:p w:rsidR="008101AE" w:rsidRPr="006228B0" w:rsidRDefault="004C5AA8">
            <w:pPr>
              <w:ind w:left="60" w:right="60"/>
              <w:jc w:val="center"/>
            </w:pPr>
            <w:r w:rsidRPr="006228B0">
              <w:t>Tolerance</w:t>
            </w:r>
          </w:p>
        </w:tc>
        <w:tc>
          <w:tcPr>
            <w:tcW w:w="986" w:type="dxa"/>
            <w:tcBorders>
              <w:top w:val="nil"/>
              <w:left w:val="single" w:sz="8" w:space="0" w:color="E0E0E0"/>
              <w:bottom w:val="single" w:sz="8" w:space="0" w:color="152935"/>
              <w:right w:val="nil"/>
            </w:tcBorders>
            <w:shd w:val="clear" w:color="auto" w:fill="FFFFFF"/>
          </w:tcPr>
          <w:p w:rsidR="008101AE" w:rsidRPr="006228B0" w:rsidRDefault="004C5AA8">
            <w:pPr>
              <w:ind w:left="60" w:right="60"/>
              <w:jc w:val="center"/>
            </w:pPr>
            <w:r w:rsidRPr="006228B0">
              <w:t>VIF</w:t>
            </w:r>
          </w:p>
        </w:tc>
      </w:tr>
      <w:tr w:rsidR="006228B0" w:rsidRPr="006228B0" w:rsidTr="006228B0">
        <w:trPr>
          <w:jc w:val="center"/>
        </w:trPr>
        <w:tc>
          <w:tcPr>
            <w:tcW w:w="754" w:type="dxa"/>
            <w:vMerge w:val="restart"/>
            <w:tcBorders>
              <w:top w:val="single" w:sz="8" w:space="0" w:color="152935"/>
              <w:left w:val="nil"/>
              <w:bottom w:val="single" w:sz="8" w:space="0" w:color="152935"/>
              <w:right w:val="nil"/>
            </w:tcBorders>
            <w:shd w:val="clear" w:color="auto" w:fill="E0E0E0"/>
          </w:tcPr>
          <w:p w:rsidR="008101AE" w:rsidRPr="006228B0" w:rsidRDefault="004C5AA8">
            <w:pPr>
              <w:ind w:left="60" w:right="60"/>
            </w:pPr>
            <w:r w:rsidRPr="006228B0">
              <w:t>1</w:t>
            </w:r>
          </w:p>
        </w:tc>
        <w:tc>
          <w:tcPr>
            <w:tcW w:w="1210" w:type="dxa"/>
            <w:tcBorders>
              <w:top w:val="single" w:sz="8" w:space="0" w:color="152935"/>
              <w:left w:val="nil"/>
              <w:bottom w:val="single" w:sz="8" w:space="0" w:color="AEAEAE"/>
              <w:right w:val="nil"/>
            </w:tcBorders>
            <w:shd w:val="clear" w:color="auto" w:fill="E0E0E0"/>
          </w:tcPr>
          <w:p w:rsidR="008101AE" w:rsidRPr="006228B0" w:rsidRDefault="004C5AA8">
            <w:pPr>
              <w:ind w:left="60" w:right="60"/>
            </w:pPr>
            <w:r w:rsidRPr="006228B0">
              <w:t>(Constant)</w:t>
            </w:r>
          </w:p>
        </w:tc>
        <w:tc>
          <w:tcPr>
            <w:tcW w:w="116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8101AE" w:rsidRPr="006228B0" w:rsidRDefault="008101AE"/>
        </w:tc>
        <w:tc>
          <w:tcPr>
            <w:tcW w:w="986" w:type="dxa"/>
            <w:tcBorders>
              <w:top w:val="single" w:sz="8" w:space="0" w:color="152935"/>
              <w:left w:val="single" w:sz="8" w:space="0" w:color="E0E0E0"/>
              <w:bottom w:val="single" w:sz="8" w:space="0" w:color="AEAEAE"/>
              <w:right w:val="nil"/>
            </w:tcBorders>
            <w:shd w:val="clear" w:color="auto" w:fill="FFFFFF"/>
            <w:vAlign w:val="center"/>
          </w:tcPr>
          <w:p w:rsidR="008101AE" w:rsidRPr="006228B0" w:rsidRDefault="008101AE"/>
        </w:tc>
      </w:tr>
      <w:tr w:rsidR="006228B0" w:rsidRPr="006228B0" w:rsidTr="006228B0">
        <w:trPr>
          <w:jc w:val="center"/>
        </w:trPr>
        <w:tc>
          <w:tcPr>
            <w:tcW w:w="754" w:type="dxa"/>
            <w:vMerge/>
            <w:tcBorders>
              <w:top w:val="single" w:sz="8" w:space="0" w:color="152935"/>
              <w:left w:val="nil"/>
              <w:bottom w:val="single" w:sz="8" w:space="0" w:color="152935"/>
              <w:right w:val="nil"/>
            </w:tcBorders>
            <w:shd w:val="clear" w:color="auto" w:fill="E0E0E0"/>
          </w:tcPr>
          <w:p w:rsidR="008101AE" w:rsidRPr="006228B0"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E0E0E0"/>
          </w:tcPr>
          <w:p w:rsidR="008101AE" w:rsidRPr="006228B0" w:rsidRDefault="004C5AA8">
            <w:pPr>
              <w:ind w:left="60" w:right="60"/>
            </w:pPr>
            <w:r w:rsidRPr="006228B0">
              <w:t>KI</w:t>
            </w:r>
          </w:p>
        </w:tc>
        <w:tc>
          <w:tcPr>
            <w:tcW w:w="1161" w:type="dxa"/>
            <w:tcBorders>
              <w:top w:val="single" w:sz="8" w:space="0" w:color="AEAEAE"/>
              <w:left w:val="single" w:sz="8" w:space="0" w:color="E0E0E0"/>
              <w:bottom w:val="single" w:sz="8" w:space="0" w:color="AEAEAE"/>
              <w:right w:val="single" w:sz="8" w:space="0" w:color="E0E0E0"/>
            </w:tcBorders>
            <w:shd w:val="clear" w:color="auto" w:fill="FFFFFF"/>
          </w:tcPr>
          <w:p w:rsidR="008101AE" w:rsidRPr="006228B0" w:rsidRDefault="004C5AA8">
            <w:pPr>
              <w:ind w:left="60" w:right="60"/>
              <w:jc w:val="right"/>
            </w:pPr>
            <w:r w:rsidRPr="006228B0">
              <w:t>.753</w:t>
            </w:r>
          </w:p>
        </w:tc>
        <w:tc>
          <w:tcPr>
            <w:tcW w:w="986" w:type="dxa"/>
            <w:tcBorders>
              <w:top w:val="single" w:sz="8" w:space="0" w:color="AEAEAE"/>
              <w:left w:val="single" w:sz="8" w:space="0" w:color="E0E0E0"/>
              <w:bottom w:val="single" w:sz="8" w:space="0" w:color="AEAEAE"/>
              <w:right w:val="nil"/>
            </w:tcBorders>
            <w:shd w:val="clear" w:color="auto" w:fill="FFFFFF"/>
          </w:tcPr>
          <w:p w:rsidR="008101AE" w:rsidRPr="006228B0" w:rsidRDefault="004C5AA8">
            <w:pPr>
              <w:ind w:left="60" w:right="60"/>
              <w:jc w:val="right"/>
            </w:pPr>
            <w:r w:rsidRPr="006228B0">
              <w:t>1.327</w:t>
            </w:r>
          </w:p>
        </w:tc>
      </w:tr>
      <w:tr w:rsidR="006228B0" w:rsidRPr="006228B0" w:rsidTr="006228B0">
        <w:trPr>
          <w:jc w:val="center"/>
        </w:trPr>
        <w:tc>
          <w:tcPr>
            <w:tcW w:w="754" w:type="dxa"/>
            <w:vMerge/>
            <w:tcBorders>
              <w:top w:val="single" w:sz="8" w:space="0" w:color="152935"/>
              <w:left w:val="nil"/>
              <w:bottom w:val="single" w:sz="8" w:space="0" w:color="152935"/>
              <w:right w:val="nil"/>
            </w:tcBorders>
            <w:shd w:val="clear" w:color="auto" w:fill="E0E0E0"/>
          </w:tcPr>
          <w:p w:rsidR="008101AE" w:rsidRPr="006228B0"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E0E0E0"/>
          </w:tcPr>
          <w:p w:rsidR="008101AE" w:rsidRPr="006228B0" w:rsidRDefault="004C5AA8">
            <w:pPr>
              <w:ind w:left="60" w:right="60"/>
            </w:pPr>
            <w:r w:rsidRPr="006228B0">
              <w:t>KA</w:t>
            </w:r>
          </w:p>
        </w:tc>
        <w:tc>
          <w:tcPr>
            <w:tcW w:w="1161" w:type="dxa"/>
            <w:tcBorders>
              <w:top w:val="single" w:sz="8" w:space="0" w:color="AEAEAE"/>
              <w:left w:val="single" w:sz="8" w:space="0" w:color="E0E0E0"/>
              <w:bottom w:val="single" w:sz="8" w:space="0" w:color="AEAEAE"/>
              <w:right w:val="single" w:sz="8" w:space="0" w:color="E0E0E0"/>
            </w:tcBorders>
            <w:shd w:val="clear" w:color="auto" w:fill="FFFFFF"/>
          </w:tcPr>
          <w:p w:rsidR="008101AE" w:rsidRPr="006228B0" w:rsidRDefault="004C5AA8">
            <w:pPr>
              <w:ind w:left="60" w:right="60"/>
              <w:jc w:val="right"/>
            </w:pPr>
            <w:r w:rsidRPr="006228B0">
              <w:t>.682</w:t>
            </w:r>
          </w:p>
        </w:tc>
        <w:tc>
          <w:tcPr>
            <w:tcW w:w="986" w:type="dxa"/>
            <w:tcBorders>
              <w:top w:val="single" w:sz="8" w:space="0" w:color="AEAEAE"/>
              <w:left w:val="single" w:sz="8" w:space="0" w:color="E0E0E0"/>
              <w:bottom w:val="single" w:sz="8" w:space="0" w:color="AEAEAE"/>
              <w:right w:val="nil"/>
            </w:tcBorders>
            <w:shd w:val="clear" w:color="auto" w:fill="FFFFFF"/>
          </w:tcPr>
          <w:p w:rsidR="008101AE" w:rsidRPr="006228B0" w:rsidRDefault="004C5AA8">
            <w:pPr>
              <w:ind w:left="60" w:right="60"/>
              <w:jc w:val="right"/>
            </w:pPr>
            <w:r w:rsidRPr="006228B0">
              <w:t>1.466</w:t>
            </w:r>
          </w:p>
        </w:tc>
      </w:tr>
      <w:tr w:rsidR="006228B0" w:rsidRPr="006228B0" w:rsidTr="006228B0">
        <w:trPr>
          <w:jc w:val="center"/>
        </w:trPr>
        <w:tc>
          <w:tcPr>
            <w:tcW w:w="754" w:type="dxa"/>
            <w:vMerge/>
            <w:tcBorders>
              <w:top w:val="single" w:sz="8" w:space="0" w:color="152935"/>
              <w:left w:val="nil"/>
              <w:bottom w:val="single" w:sz="8" w:space="0" w:color="152935"/>
              <w:right w:val="nil"/>
            </w:tcBorders>
            <w:shd w:val="clear" w:color="auto" w:fill="E0E0E0"/>
          </w:tcPr>
          <w:p w:rsidR="008101AE" w:rsidRPr="006228B0"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E0E0E0"/>
          </w:tcPr>
          <w:p w:rsidR="008101AE" w:rsidRPr="006228B0" w:rsidRDefault="004C5AA8">
            <w:pPr>
              <w:ind w:left="60" w:right="60"/>
            </w:pPr>
            <w:r w:rsidRPr="006228B0">
              <w:t>KINS</w:t>
            </w:r>
          </w:p>
        </w:tc>
        <w:tc>
          <w:tcPr>
            <w:tcW w:w="1161" w:type="dxa"/>
            <w:tcBorders>
              <w:top w:val="single" w:sz="8" w:space="0" w:color="AEAEAE"/>
              <w:left w:val="single" w:sz="8" w:space="0" w:color="E0E0E0"/>
              <w:bottom w:val="single" w:sz="8" w:space="0" w:color="AEAEAE"/>
              <w:right w:val="single" w:sz="8" w:space="0" w:color="E0E0E0"/>
            </w:tcBorders>
            <w:shd w:val="clear" w:color="auto" w:fill="FFFFFF"/>
          </w:tcPr>
          <w:p w:rsidR="008101AE" w:rsidRPr="006228B0" w:rsidRDefault="004C5AA8">
            <w:pPr>
              <w:ind w:left="60" w:right="60"/>
              <w:jc w:val="right"/>
            </w:pPr>
            <w:r w:rsidRPr="006228B0">
              <w:t>.516</w:t>
            </w:r>
          </w:p>
        </w:tc>
        <w:tc>
          <w:tcPr>
            <w:tcW w:w="986" w:type="dxa"/>
            <w:tcBorders>
              <w:top w:val="single" w:sz="8" w:space="0" w:color="AEAEAE"/>
              <w:left w:val="single" w:sz="8" w:space="0" w:color="E0E0E0"/>
              <w:bottom w:val="single" w:sz="8" w:space="0" w:color="AEAEAE"/>
              <w:right w:val="nil"/>
            </w:tcBorders>
            <w:shd w:val="clear" w:color="auto" w:fill="FFFFFF"/>
          </w:tcPr>
          <w:p w:rsidR="008101AE" w:rsidRPr="006228B0" w:rsidRDefault="004C5AA8">
            <w:pPr>
              <w:ind w:left="60" w:right="60"/>
              <w:jc w:val="right"/>
            </w:pPr>
            <w:r w:rsidRPr="006228B0">
              <w:t>1.937</w:t>
            </w:r>
          </w:p>
        </w:tc>
      </w:tr>
      <w:tr w:rsidR="006228B0" w:rsidRPr="006228B0" w:rsidTr="006228B0">
        <w:trPr>
          <w:jc w:val="center"/>
        </w:trPr>
        <w:tc>
          <w:tcPr>
            <w:tcW w:w="754" w:type="dxa"/>
            <w:vMerge/>
            <w:tcBorders>
              <w:top w:val="single" w:sz="8" w:space="0" w:color="152935"/>
              <w:left w:val="nil"/>
              <w:bottom w:val="single" w:sz="8" w:space="0" w:color="152935"/>
              <w:right w:val="nil"/>
            </w:tcBorders>
            <w:shd w:val="clear" w:color="auto" w:fill="E0E0E0"/>
          </w:tcPr>
          <w:p w:rsidR="008101AE" w:rsidRPr="006228B0"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152935"/>
              <w:right w:val="nil"/>
            </w:tcBorders>
            <w:shd w:val="clear" w:color="auto" w:fill="E0E0E0"/>
          </w:tcPr>
          <w:p w:rsidR="008101AE" w:rsidRPr="006228B0" w:rsidRDefault="004C5AA8">
            <w:pPr>
              <w:ind w:left="60" w:right="60"/>
            </w:pPr>
            <w:r w:rsidRPr="006228B0">
              <w:t>CSR</w:t>
            </w:r>
          </w:p>
        </w:tc>
        <w:tc>
          <w:tcPr>
            <w:tcW w:w="1161" w:type="dxa"/>
            <w:tcBorders>
              <w:top w:val="single" w:sz="8" w:space="0" w:color="AEAEAE"/>
              <w:left w:val="single" w:sz="8" w:space="0" w:color="E0E0E0"/>
              <w:bottom w:val="single" w:sz="8" w:space="0" w:color="152935"/>
              <w:right w:val="single" w:sz="8" w:space="0" w:color="E0E0E0"/>
            </w:tcBorders>
            <w:shd w:val="clear" w:color="auto" w:fill="FFFFFF"/>
          </w:tcPr>
          <w:p w:rsidR="008101AE" w:rsidRPr="006228B0" w:rsidRDefault="004C5AA8">
            <w:pPr>
              <w:ind w:left="60" w:right="60"/>
              <w:jc w:val="right"/>
            </w:pPr>
            <w:r w:rsidRPr="006228B0">
              <w:t>.667</w:t>
            </w:r>
          </w:p>
        </w:tc>
        <w:tc>
          <w:tcPr>
            <w:tcW w:w="986" w:type="dxa"/>
            <w:tcBorders>
              <w:top w:val="single" w:sz="8" w:space="0" w:color="AEAEAE"/>
              <w:left w:val="single" w:sz="8" w:space="0" w:color="E0E0E0"/>
              <w:bottom w:val="single" w:sz="8" w:space="0" w:color="152935"/>
              <w:right w:val="nil"/>
            </w:tcBorders>
            <w:shd w:val="clear" w:color="auto" w:fill="FFFFFF"/>
          </w:tcPr>
          <w:p w:rsidR="008101AE" w:rsidRPr="006228B0" w:rsidRDefault="004C5AA8">
            <w:pPr>
              <w:ind w:left="60" w:right="60"/>
              <w:jc w:val="right"/>
            </w:pPr>
            <w:r w:rsidRPr="006228B0">
              <w:t>1.500</w:t>
            </w:r>
          </w:p>
        </w:tc>
      </w:tr>
      <w:tr w:rsidR="006228B0" w:rsidRPr="006228B0" w:rsidTr="006228B0">
        <w:trPr>
          <w:jc w:val="center"/>
        </w:trPr>
        <w:tc>
          <w:tcPr>
            <w:tcW w:w="4111" w:type="dxa"/>
            <w:gridSpan w:val="4"/>
            <w:tcBorders>
              <w:top w:val="nil"/>
              <w:left w:val="nil"/>
              <w:bottom w:val="nil"/>
              <w:right w:val="nil"/>
            </w:tcBorders>
            <w:shd w:val="clear" w:color="auto" w:fill="FFFFFF"/>
          </w:tcPr>
          <w:p w:rsidR="008101AE" w:rsidRPr="006228B0" w:rsidRDefault="004C5AA8">
            <w:pPr>
              <w:ind w:left="60" w:right="60"/>
            </w:pPr>
            <w:r w:rsidRPr="006228B0">
              <w:t>a. Dependent Variable: ETR</w:t>
            </w:r>
          </w:p>
        </w:tc>
      </w:tr>
    </w:tbl>
    <w:p w:rsidR="008101AE" w:rsidRDefault="004C5AA8" w:rsidP="006228B0">
      <w:pPr>
        <w:jc w:val="center"/>
        <w:rPr>
          <w:sz w:val="22"/>
          <w:szCs w:val="22"/>
        </w:rPr>
      </w:pPr>
      <w:proofErr w:type="gramStart"/>
      <w:r>
        <w:rPr>
          <w:sz w:val="22"/>
          <w:szCs w:val="22"/>
        </w:rPr>
        <w:t>Sumber :</w:t>
      </w:r>
      <w:proofErr w:type="gramEnd"/>
      <w:r>
        <w:rPr>
          <w:sz w:val="22"/>
          <w:szCs w:val="22"/>
        </w:rPr>
        <w:t xml:space="preserve"> Data Olahan SPSS 25</w:t>
      </w:r>
    </w:p>
    <w:p w:rsidR="008101AE" w:rsidRDefault="004C5AA8">
      <w:pPr>
        <w:jc w:val="both"/>
        <w:rPr>
          <w:sz w:val="22"/>
          <w:szCs w:val="22"/>
        </w:rPr>
      </w:pPr>
      <w:r>
        <w:rPr>
          <w:sz w:val="22"/>
          <w:szCs w:val="22"/>
        </w:rPr>
        <w:tab/>
        <w:t>Dari hasil perhitungan hasil analisis data diatas, diperoleh nilai VIF untuk seluruh variabel bebas &lt; 10 dan tolerance &gt; 0</w:t>
      </w:r>
      <w:proofErr w:type="gramStart"/>
      <w:r>
        <w:rPr>
          <w:sz w:val="22"/>
          <w:szCs w:val="22"/>
        </w:rPr>
        <w:t>,10</w:t>
      </w:r>
      <w:proofErr w:type="gramEnd"/>
      <w:r>
        <w:rPr>
          <w:sz w:val="22"/>
          <w:szCs w:val="22"/>
        </w:rPr>
        <w:t xml:space="preserve">. </w:t>
      </w:r>
      <w:proofErr w:type="gramStart"/>
      <w:r>
        <w:rPr>
          <w:sz w:val="22"/>
          <w:szCs w:val="22"/>
        </w:rPr>
        <w:t>Hal ini dapat disimpulkan bahwa model regresi disimpulkan bahwa model regresi tersebut bebas dari multikolinearitas.</w:t>
      </w:r>
      <w:proofErr w:type="gramEnd"/>
    </w:p>
    <w:p w:rsidR="008101AE" w:rsidRDefault="008101AE">
      <w:pPr>
        <w:jc w:val="both"/>
        <w:rPr>
          <w:sz w:val="22"/>
          <w:szCs w:val="22"/>
        </w:rPr>
      </w:pPr>
    </w:p>
    <w:p w:rsidR="00625B6E" w:rsidRDefault="00625B6E">
      <w:pPr>
        <w:jc w:val="both"/>
        <w:rPr>
          <w:sz w:val="22"/>
          <w:szCs w:val="22"/>
        </w:rPr>
      </w:pPr>
    </w:p>
    <w:p w:rsidR="00625B6E" w:rsidRDefault="00625B6E">
      <w:pPr>
        <w:jc w:val="both"/>
        <w:rPr>
          <w:sz w:val="22"/>
          <w:szCs w:val="22"/>
        </w:rPr>
      </w:pPr>
    </w:p>
    <w:p w:rsidR="00625B6E" w:rsidRDefault="00625B6E">
      <w:pPr>
        <w:jc w:val="both"/>
        <w:rPr>
          <w:sz w:val="22"/>
          <w:szCs w:val="22"/>
        </w:rPr>
      </w:pPr>
    </w:p>
    <w:p w:rsidR="008101AE" w:rsidRDefault="004C5AA8">
      <w:pPr>
        <w:jc w:val="both"/>
        <w:rPr>
          <w:sz w:val="22"/>
          <w:szCs w:val="22"/>
        </w:rPr>
      </w:pPr>
      <w:r>
        <w:rPr>
          <w:b/>
          <w:sz w:val="22"/>
          <w:szCs w:val="22"/>
        </w:rPr>
        <w:lastRenderedPageBreak/>
        <w:t>Hasil Uji Autokorelasi</w:t>
      </w:r>
    </w:p>
    <w:p w:rsidR="008101AE" w:rsidRDefault="004C5AA8">
      <w:pPr>
        <w:jc w:val="both"/>
        <w:rPr>
          <w:sz w:val="22"/>
          <w:szCs w:val="22"/>
        </w:rPr>
      </w:pPr>
      <w:r>
        <w:rPr>
          <w:sz w:val="22"/>
          <w:szCs w:val="22"/>
        </w:rPr>
        <w:tab/>
      </w:r>
      <w:proofErr w:type="gramStart"/>
      <w:r>
        <w:rPr>
          <w:sz w:val="22"/>
          <w:szCs w:val="22"/>
        </w:rPr>
        <w:t>Uji autokorelasi adalah untuk melihat apakah terjadi autokorelasi antara suatu periode t dengan periode sebelumnya (t-1).</w:t>
      </w:r>
      <w:proofErr w:type="gramEnd"/>
      <w:r>
        <w:rPr>
          <w:sz w:val="22"/>
          <w:szCs w:val="22"/>
        </w:rPr>
        <w:t xml:space="preserve"> </w:t>
      </w:r>
      <w:proofErr w:type="gramStart"/>
      <w:r>
        <w:rPr>
          <w:sz w:val="22"/>
          <w:szCs w:val="22"/>
        </w:rPr>
        <w:t>Uji autokorelasi dapat dilakukan dengan menggunakan uji durbin-watson (DW), dimana hasil pengujian ditentukan berdasarkan nilai durbin-watson (DW).</w:t>
      </w:r>
      <w:proofErr w:type="gramEnd"/>
    </w:p>
    <w:p w:rsidR="008101AE" w:rsidRDefault="004C5AA8">
      <w:pPr>
        <w:jc w:val="center"/>
        <w:rPr>
          <w:sz w:val="22"/>
          <w:szCs w:val="22"/>
        </w:rPr>
      </w:pPr>
      <w:r>
        <w:rPr>
          <w:b/>
          <w:sz w:val="22"/>
          <w:szCs w:val="22"/>
        </w:rPr>
        <w:t>Tabel 4</w:t>
      </w:r>
    </w:p>
    <w:tbl>
      <w:tblPr>
        <w:tblStyle w:val="a2"/>
        <w:tblW w:w="3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1138"/>
        <w:gridCol w:w="2552"/>
      </w:tblGrid>
      <w:tr w:rsidR="006228B0" w:rsidRPr="006228B0" w:rsidTr="00625B6E">
        <w:trPr>
          <w:jc w:val="center"/>
        </w:trPr>
        <w:tc>
          <w:tcPr>
            <w:tcW w:w="3690" w:type="dxa"/>
            <w:gridSpan w:val="2"/>
            <w:tcBorders>
              <w:top w:val="nil"/>
              <w:left w:val="nil"/>
              <w:bottom w:val="nil"/>
              <w:right w:val="nil"/>
            </w:tcBorders>
            <w:shd w:val="clear" w:color="auto" w:fill="FFFFFF" w:themeFill="background1"/>
            <w:vAlign w:val="center"/>
          </w:tcPr>
          <w:p w:rsidR="008101AE" w:rsidRPr="006228B0" w:rsidRDefault="004C5AA8">
            <w:pPr>
              <w:ind w:left="60" w:right="60"/>
              <w:jc w:val="center"/>
            </w:pPr>
            <w:r w:rsidRPr="006228B0">
              <w:rPr>
                <w:b/>
              </w:rPr>
              <w:t>Model Summary</w:t>
            </w:r>
            <w:r w:rsidRPr="006228B0">
              <w:rPr>
                <w:b/>
                <w:vertAlign w:val="superscript"/>
              </w:rPr>
              <w:t>b</w:t>
            </w:r>
          </w:p>
        </w:tc>
      </w:tr>
      <w:tr w:rsidR="006228B0" w:rsidRPr="006228B0" w:rsidTr="00625B6E">
        <w:trPr>
          <w:jc w:val="center"/>
        </w:trPr>
        <w:tc>
          <w:tcPr>
            <w:tcW w:w="1138" w:type="dxa"/>
            <w:tcBorders>
              <w:top w:val="nil"/>
              <w:left w:val="nil"/>
              <w:bottom w:val="single" w:sz="8" w:space="0" w:color="152935"/>
              <w:right w:val="nil"/>
            </w:tcBorders>
            <w:shd w:val="clear" w:color="auto" w:fill="FFFFFF" w:themeFill="background1"/>
          </w:tcPr>
          <w:p w:rsidR="008101AE" w:rsidRPr="006228B0" w:rsidRDefault="004C5AA8">
            <w:pPr>
              <w:ind w:left="60" w:right="60"/>
            </w:pPr>
            <w:r w:rsidRPr="006228B0">
              <w:t>Model</w:t>
            </w:r>
          </w:p>
        </w:tc>
        <w:tc>
          <w:tcPr>
            <w:tcW w:w="2552" w:type="dxa"/>
            <w:tcBorders>
              <w:top w:val="nil"/>
              <w:left w:val="single" w:sz="8" w:space="0" w:color="E0E0E0"/>
              <w:bottom w:val="single" w:sz="8" w:space="0" w:color="152935"/>
              <w:right w:val="nil"/>
            </w:tcBorders>
            <w:shd w:val="clear" w:color="auto" w:fill="FFFFFF" w:themeFill="background1"/>
          </w:tcPr>
          <w:p w:rsidR="008101AE" w:rsidRPr="006228B0" w:rsidRDefault="004C5AA8">
            <w:pPr>
              <w:ind w:left="60" w:right="60"/>
              <w:jc w:val="center"/>
            </w:pPr>
            <w:r w:rsidRPr="006228B0">
              <w:t>Durbin-Watson</w:t>
            </w:r>
          </w:p>
        </w:tc>
      </w:tr>
      <w:tr w:rsidR="006228B0" w:rsidRPr="006228B0" w:rsidTr="00625B6E">
        <w:trPr>
          <w:jc w:val="center"/>
        </w:trPr>
        <w:tc>
          <w:tcPr>
            <w:tcW w:w="1138" w:type="dxa"/>
            <w:tcBorders>
              <w:top w:val="single" w:sz="8" w:space="0" w:color="152935"/>
              <w:left w:val="nil"/>
              <w:bottom w:val="single" w:sz="8" w:space="0" w:color="152935"/>
              <w:right w:val="nil"/>
            </w:tcBorders>
            <w:shd w:val="clear" w:color="auto" w:fill="FFFFFF" w:themeFill="background1"/>
          </w:tcPr>
          <w:p w:rsidR="008101AE" w:rsidRPr="006228B0" w:rsidRDefault="004C5AA8">
            <w:pPr>
              <w:ind w:left="60" w:right="60"/>
            </w:pPr>
            <w:r w:rsidRPr="006228B0">
              <w:t>1</w:t>
            </w:r>
          </w:p>
        </w:tc>
        <w:tc>
          <w:tcPr>
            <w:tcW w:w="2552" w:type="dxa"/>
            <w:tcBorders>
              <w:top w:val="single" w:sz="8" w:space="0" w:color="152935"/>
              <w:left w:val="single" w:sz="8" w:space="0" w:color="E0E0E0"/>
              <w:bottom w:val="single" w:sz="8" w:space="0" w:color="152935"/>
              <w:right w:val="nil"/>
            </w:tcBorders>
            <w:shd w:val="clear" w:color="auto" w:fill="FFFFFF" w:themeFill="background1"/>
          </w:tcPr>
          <w:p w:rsidR="008101AE" w:rsidRPr="006228B0" w:rsidRDefault="004C5AA8">
            <w:pPr>
              <w:ind w:left="60" w:right="60"/>
              <w:jc w:val="right"/>
            </w:pPr>
            <w:r w:rsidRPr="006228B0">
              <w:t>1.930</w:t>
            </w:r>
          </w:p>
        </w:tc>
      </w:tr>
      <w:tr w:rsidR="006228B0" w:rsidRPr="006228B0" w:rsidTr="00625B6E">
        <w:trPr>
          <w:jc w:val="center"/>
        </w:trPr>
        <w:tc>
          <w:tcPr>
            <w:tcW w:w="3690" w:type="dxa"/>
            <w:gridSpan w:val="2"/>
            <w:tcBorders>
              <w:top w:val="nil"/>
              <w:left w:val="nil"/>
              <w:bottom w:val="nil"/>
              <w:right w:val="nil"/>
            </w:tcBorders>
            <w:shd w:val="clear" w:color="auto" w:fill="FFFFFF" w:themeFill="background1"/>
          </w:tcPr>
          <w:p w:rsidR="008101AE" w:rsidRPr="006228B0" w:rsidRDefault="004C5AA8">
            <w:pPr>
              <w:ind w:left="60" w:right="60"/>
            </w:pPr>
            <w:r w:rsidRPr="006228B0">
              <w:t>a. Predictors: (Constant), CSR, KA, KI, KINS</w:t>
            </w:r>
          </w:p>
        </w:tc>
      </w:tr>
      <w:tr w:rsidR="006228B0" w:rsidRPr="006228B0" w:rsidTr="00625B6E">
        <w:trPr>
          <w:jc w:val="center"/>
        </w:trPr>
        <w:tc>
          <w:tcPr>
            <w:tcW w:w="3690" w:type="dxa"/>
            <w:gridSpan w:val="2"/>
            <w:tcBorders>
              <w:top w:val="nil"/>
              <w:left w:val="nil"/>
              <w:bottom w:val="nil"/>
              <w:right w:val="nil"/>
            </w:tcBorders>
            <w:shd w:val="clear" w:color="auto" w:fill="FFFFFF" w:themeFill="background1"/>
          </w:tcPr>
          <w:p w:rsidR="008101AE" w:rsidRPr="006228B0" w:rsidRDefault="004C5AA8">
            <w:pPr>
              <w:ind w:left="60" w:right="60"/>
            </w:pPr>
            <w:r w:rsidRPr="006228B0">
              <w:t>b. Dependent Variable: ETR</w:t>
            </w:r>
          </w:p>
        </w:tc>
      </w:tr>
      <w:tr w:rsidR="006228B0" w:rsidRPr="006228B0" w:rsidTr="00625B6E">
        <w:trPr>
          <w:jc w:val="center"/>
        </w:trPr>
        <w:tc>
          <w:tcPr>
            <w:tcW w:w="3690" w:type="dxa"/>
            <w:gridSpan w:val="2"/>
            <w:tcBorders>
              <w:top w:val="nil"/>
              <w:left w:val="nil"/>
              <w:bottom w:val="nil"/>
              <w:right w:val="nil"/>
            </w:tcBorders>
            <w:shd w:val="clear" w:color="auto" w:fill="FFFFFF" w:themeFill="background1"/>
          </w:tcPr>
          <w:p w:rsidR="008101AE" w:rsidRPr="006228B0" w:rsidRDefault="008101AE">
            <w:pPr>
              <w:ind w:right="60"/>
            </w:pPr>
          </w:p>
        </w:tc>
      </w:tr>
      <w:tr w:rsidR="006228B0" w:rsidRPr="006228B0" w:rsidTr="00625B6E">
        <w:trPr>
          <w:trHeight w:val="80"/>
          <w:jc w:val="center"/>
        </w:trPr>
        <w:tc>
          <w:tcPr>
            <w:tcW w:w="3690" w:type="dxa"/>
            <w:gridSpan w:val="2"/>
            <w:tcBorders>
              <w:top w:val="nil"/>
              <w:left w:val="nil"/>
              <w:bottom w:val="nil"/>
              <w:right w:val="nil"/>
            </w:tcBorders>
            <w:shd w:val="clear" w:color="auto" w:fill="FFFFFF" w:themeFill="background1"/>
          </w:tcPr>
          <w:p w:rsidR="008101AE" w:rsidRPr="006228B0" w:rsidRDefault="008101AE">
            <w:pPr>
              <w:ind w:right="60"/>
            </w:pPr>
          </w:p>
        </w:tc>
      </w:tr>
    </w:tbl>
    <w:p w:rsidR="008101AE" w:rsidRDefault="004C5AA8" w:rsidP="006228B0">
      <w:pPr>
        <w:jc w:val="center"/>
        <w:rPr>
          <w:sz w:val="22"/>
          <w:szCs w:val="22"/>
        </w:rPr>
      </w:pPr>
      <w:r>
        <w:rPr>
          <w:sz w:val="22"/>
          <w:szCs w:val="22"/>
        </w:rPr>
        <w:t>Sumber: Data Olahan SPSS 25</w:t>
      </w:r>
    </w:p>
    <w:p w:rsidR="008101AE" w:rsidRDefault="004C5AA8">
      <w:pPr>
        <w:ind w:firstLine="720"/>
        <w:jc w:val="both"/>
        <w:rPr>
          <w:sz w:val="22"/>
          <w:szCs w:val="22"/>
        </w:rPr>
      </w:pPr>
      <w:proofErr w:type="gramStart"/>
      <w:r>
        <w:rPr>
          <w:sz w:val="22"/>
          <w:szCs w:val="22"/>
        </w:rPr>
        <w:t>Berdasarkan tabel diatas diperoleh nilai Durbin Watson sebesar 1.930.</w:t>
      </w:r>
      <w:proofErr w:type="gramEnd"/>
      <w:r>
        <w:rPr>
          <w:sz w:val="22"/>
          <w:szCs w:val="22"/>
        </w:rPr>
        <w:t xml:space="preserve"> </w:t>
      </w:r>
      <w:proofErr w:type="gramStart"/>
      <w:r>
        <w:rPr>
          <w:sz w:val="22"/>
          <w:szCs w:val="22"/>
        </w:rPr>
        <w:t>Pada tabel Durbin-Watson diperoleh nilai du sebesar 1.732.</w:t>
      </w:r>
      <w:proofErr w:type="gramEnd"/>
      <w:r>
        <w:rPr>
          <w:sz w:val="22"/>
          <w:szCs w:val="22"/>
        </w:rPr>
        <w:t xml:space="preserve"> </w:t>
      </w:r>
      <w:proofErr w:type="gramStart"/>
      <w:r>
        <w:rPr>
          <w:sz w:val="22"/>
          <w:szCs w:val="22"/>
        </w:rPr>
        <w:t>maka</w:t>
      </w:r>
      <w:proofErr w:type="gramEnd"/>
      <w:r>
        <w:rPr>
          <w:sz w:val="22"/>
          <w:szCs w:val="22"/>
        </w:rPr>
        <w:t xml:space="preserve"> dari perhitungan (du &lt; dw &lt; 4-du) atau (1,732 &lt; 1,930 &lt; 2,268) dapat disimpulkan bahwa Durbin-Watson Test terletak pada daerah yang tidak terdapat gejala autokorelasi.</w:t>
      </w:r>
    </w:p>
    <w:p w:rsidR="008101AE" w:rsidRDefault="008101AE">
      <w:pPr>
        <w:ind w:firstLine="720"/>
        <w:jc w:val="both"/>
        <w:rPr>
          <w:sz w:val="22"/>
          <w:szCs w:val="22"/>
        </w:rPr>
      </w:pPr>
    </w:p>
    <w:p w:rsidR="008101AE" w:rsidRDefault="004C5AA8">
      <w:pPr>
        <w:jc w:val="both"/>
        <w:rPr>
          <w:sz w:val="22"/>
          <w:szCs w:val="22"/>
        </w:rPr>
      </w:pPr>
      <w:r>
        <w:rPr>
          <w:b/>
          <w:sz w:val="22"/>
          <w:szCs w:val="22"/>
        </w:rPr>
        <w:t>Hasil Uji Heterokedastisitas</w:t>
      </w:r>
    </w:p>
    <w:p w:rsidR="008101AE" w:rsidRDefault="004C5AA8">
      <w:pPr>
        <w:jc w:val="both"/>
        <w:rPr>
          <w:sz w:val="22"/>
          <w:szCs w:val="22"/>
        </w:rPr>
      </w:pPr>
      <w:r>
        <w:rPr>
          <w:sz w:val="22"/>
          <w:szCs w:val="22"/>
        </w:rPr>
        <w:tab/>
      </w:r>
      <w:proofErr w:type="gramStart"/>
      <w:r>
        <w:rPr>
          <w:sz w:val="22"/>
          <w:szCs w:val="22"/>
        </w:rPr>
        <w:t>Uji heterokedastisitas bertujuan menguji apakah dalam model regresi terjadi ketidaksamaan variance dari residual satu pengamatan ke pengamatan lainnya.</w:t>
      </w:r>
      <w:proofErr w:type="gramEnd"/>
      <w:r>
        <w:rPr>
          <w:sz w:val="22"/>
          <w:szCs w:val="22"/>
        </w:rPr>
        <w:t xml:space="preserve"> Dalam penelitian ini untuk menguji heterokkedastisitas dalam pengamatan digunakan uji glejser dengan taraf signifikasnis 0</w:t>
      </w:r>
      <w:proofErr w:type="gramStart"/>
      <w:r>
        <w:rPr>
          <w:sz w:val="22"/>
          <w:szCs w:val="22"/>
        </w:rPr>
        <w:t>,05</w:t>
      </w:r>
      <w:proofErr w:type="gramEnd"/>
      <w:r>
        <w:rPr>
          <w:sz w:val="22"/>
          <w:szCs w:val="22"/>
        </w:rPr>
        <w:t>.</w:t>
      </w:r>
    </w:p>
    <w:p w:rsidR="008101AE" w:rsidRDefault="004C5AA8">
      <w:pPr>
        <w:jc w:val="center"/>
        <w:rPr>
          <w:sz w:val="22"/>
          <w:szCs w:val="22"/>
        </w:rPr>
      </w:pPr>
      <w:r>
        <w:rPr>
          <w:b/>
          <w:sz w:val="22"/>
          <w:szCs w:val="22"/>
        </w:rPr>
        <w:t>Tabel 5</w:t>
      </w:r>
    </w:p>
    <w:tbl>
      <w:tblPr>
        <w:tblStyle w:val="a3"/>
        <w:tblW w:w="28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754"/>
        <w:gridCol w:w="1058"/>
        <w:gridCol w:w="1052"/>
      </w:tblGrid>
      <w:tr w:rsidR="00625B6E" w:rsidRPr="00625B6E" w:rsidTr="00625B6E">
        <w:trPr>
          <w:trHeight w:val="149"/>
          <w:jc w:val="center"/>
        </w:trPr>
        <w:tc>
          <w:tcPr>
            <w:tcW w:w="2864" w:type="dxa"/>
            <w:gridSpan w:val="3"/>
            <w:tcBorders>
              <w:top w:val="nil"/>
              <w:left w:val="nil"/>
              <w:bottom w:val="nil"/>
              <w:right w:val="nil"/>
            </w:tcBorders>
            <w:shd w:val="clear" w:color="auto" w:fill="FFFFFF" w:themeFill="background1"/>
            <w:vAlign w:val="center"/>
          </w:tcPr>
          <w:p w:rsidR="008101AE" w:rsidRPr="00625B6E" w:rsidRDefault="004C5AA8">
            <w:pPr>
              <w:ind w:left="60" w:right="60"/>
              <w:jc w:val="center"/>
            </w:pPr>
            <w:r w:rsidRPr="00625B6E">
              <w:rPr>
                <w:b/>
              </w:rPr>
              <w:t>Coefficients</w:t>
            </w:r>
            <w:r w:rsidRPr="00625B6E">
              <w:rPr>
                <w:b/>
                <w:vertAlign w:val="superscript"/>
              </w:rPr>
              <w:t>a</w:t>
            </w:r>
          </w:p>
        </w:tc>
      </w:tr>
      <w:tr w:rsidR="00625B6E" w:rsidRPr="00625B6E" w:rsidTr="00625B6E">
        <w:trPr>
          <w:trHeight w:val="320"/>
          <w:jc w:val="center"/>
        </w:trPr>
        <w:tc>
          <w:tcPr>
            <w:tcW w:w="1812" w:type="dxa"/>
            <w:gridSpan w:val="2"/>
            <w:vMerge w:val="restart"/>
            <w:tcBorders>
              <w:top w:val="nil"/>
              <w:left w:val="nil"/>
              <w:bottom w:val="nil"/>
              <w:right w:val="nil"/>
            </w:tcBorders>
            <w:shd w:val="clear" w:color="auto" w:fill="FFFFFF" w:themeFill="background1"/>
          </w:tcPr>
          <w:p w:rsidR="008101AE" w:rsidRPr="00625B6E" w:rsidRDefault="004C5AA8">
            <w:pPr>
              <w:ind w:left="60" w:right="60"/>
            </w:pPr>
            <w:r w:rsidRPr="00625B6E">
              <w:t>Model</w:t>
            </w:r>
          </w:p>
        </w:tc>
        <w:tc>
          <w:tcPr>
            <w:tcW w:w="1052" w:type="dxa"/>
            <w:vMerge w:val="restart"/>
            <w:tcBorders>
              <w:top w:val="nil"/>
              <w:left w:val="single" w:sz="8" w:space="0" w:color="E0E0E0"/>
              <w:bottom w:val="nil"/>
              <w:right w:val="single" w:sz="8" w:space="0" w:color="E0E0E0"/>
            </w:tcBorders>
            <w:shd w:val="clear" w:color="auto" w:fill="FFFFFF" w:themeFill="background1"/>
          </w:tcPr>
          <w:p w:rsidR="008101AE" w:rsidRPr="00625B6E" w:rsidRDefault="004C5AA8">
            <w:pPr>
              <w:ind w:left="60" w:right="60"/>
              <w:jc w:val="center"/>
            </w:pPr>
            <w:r w:rsidRPr="00625B6E">
              <w:t>Sig.</w:t>
            </w:r>
          </w:p>
        </w:tc>
      </w:tr>
      <w:tr w:rsidR="00625B6E" w:rsidRPr="00625B6E" w:rsidTr="00625B6E">
        <w:trPr>
          <w:trHeight w:val="264"/>
          <w:jc w:val="center"/>
        </w:trPr>
        <w:tc>
          <w:tcPr>
            <w:tcW w:w="1812" w:type="dxa"/>
            <w:gridSpan w:val="2"/>
            <w:vMerge/>
            <w:tcBorders>
              <w:top w:val="nil"/>
              <w:left w:val="nil"/>
              <w:bottom w:val="nil"/>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2" w:type="dxa"/>
            <w:vMerge/>
            <w:tcBorders>
              <w:top w:val="nil"/>
              <w:left w:val="single" w:sz="8" w:space="0" w:color="E0E0E0"/>
              <w:bottom w:val="nil"/>
              <w:right w:val="single" w:sz="8" w:space="0" w:color="E0E0E0"/>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r>
      <w:tr w:rsidR="00625B6E" w:rsidRPr="00625B6E" w:rsidTr="00625B6E">
        <w:trPr>
          <w:jc w:val="center"/>
        </w:trPr>
        <w:tc>
          <w:tcPr>
            <w:tcW w:w="754" w:type="dxa"/>
            <w:vMerge w:val="restart"/>
            <w:tcBorders>
              <w:top w:val="single" w:sz="8" w:space="0" w:color="152935"/>
              <w:left w:val="nil"/>
              <w:bottom w:val="single" w:sz="8" w:space="0" w:color="152935"/>
              <w:right w:val="nil"/>
            </w:tcBorders>
            <w:shd w:val="clear" w:color="auto" w:fill="FFFFFF" w:themeFill="background1"/>
          </w:tcPr>
          <w:p w:rsidR="008101AE" w:rsidRPr="00625B6E" w:rsidRDefault="004C5AA8">
            <w:pPr>
              <w:ind w:left="60" w:right="60"/>
            </w:pPr>
            <w:r w:rsidRPr="00625B6E">
              <w:t>1</w:t>
            </w:r>
          </w:p>
        </w:tc>
        <w:tc>
          <w:tcPr>
            <w:tcW w:w="1058" w:type="dxa"/>
            <w:tcBorders>
              <w:top w:val="single" w:sz="8" w:space="0" w:color="152935"/>
              <w:left w:val="nil"/>
              <w:bottom w:val="single" w:sz="8" w:space="0" w:color="AEAEAE"/>
              <w:right w:val="nil"/>
            </w:tcBorders>
            <w:shd w:val="clear" w:color="auto" w:fill="FFFFFF" w:themeFill="background1"/>
          </w:tcPr>
          <w:p w:rsidR="008101AE" w:rsidRPr="00625B6E" w:rsidRDefault="004C5AA8">
            <w:pPr>
              <w:ind w:left="60" w:right="60"/>
            </w:pPr>
            <w:r w:rsidRPr="00625B6E">
              <w:t>(Constant)</w:t>
            </w:r>
          </w:p>
        </w:tc>
        <w:tc>
          <w:tcPr>
            <w:tcW w:w="1052" w:type="dxa"/>
            <w:tcBorders>
              <w:top w:val="single" w:sz="8" w:space="0" w:color="152935"/>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.199</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8"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KI</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.724</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8"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KA</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.724</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8"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KINS</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.691</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8" w:type="dxa"/>
            <w:tcBorders>
              <w:top w:val="single" w:sz="8" w:space="0" w:color="AEAEAE"/>
              <w:left w:val="nil"/>
              <w:bottom w:val="single" w:sz="8" w:space="0" w:color="152935"/>
              <w:right w:val="nil"/>
            </w:tcBorders>
            <w:shd w:val="clear" w:color="auto" w:fill="FFFFFF" w:themeFill="background1"/>
          </w:tcPr>
          <w:p w:rsidR="008101AE" w:rsidRPr="00625B6E" w:rsidRDefault="004C5AA8">
            <w:pPr>
              <w:ind w:left="60" w:right="60"/>
            </w:pPr>
            <w:r w:rsidRPr="00625B6E">
              <w:t>CSR</w:t>
            </w:r>
          </w:p>
        </w:tc>
        <w:tc>
          <w:tcPr>
            <w:tcW w:w="1052" w:type="dxa"/>
            <w:tcBorders>
              <w:top w:val="single" w:sz="8" w:space="0" w:color="AEAEAE"/>
              <w:left w:val="single" w:sz="8" w:space="0" w:color="E0E0E0"/>
              <w:bottom w:val="single" w:sz="8" w:space="0" w:color="152935"/>
              <w:right w:val="single" w:sz="8" w:space="0" w:color="E0E0E0"/>
            </w:tcBorders>
            <w:shd w:val="clear" w:color="auto" w:fill="FFFFFF" w:themeFill="background1"/>
          </w:tcPr>
          <w:p w:rsidR="008101AE" w:rsidRPr="00625B6E" w:rsidRDefault="004C5AA8">
            <w:pPr>
              <w:ind w:left="60" w:right="60"/>
              <w:jc w:val="right"/>
            </w:pPr>
            <w:r w:rsidRPr="00625B6E">
              <w:t>.125</w:t>
            </w:r>
          </w:p>
        </w:tc>
      </w:tr>
      <w:tr w:rsidR="00625B6E" w:rsidRPr="00625B6E" w:rsidTr="00625B6E">
        <w:trPr>
          <w:jc w:val="center"/>
        </w:trPr>
        <w:tc>
          <w:tcPr>
            <w:tcW w:w="2864" w:type="dxa"/>
            <w:gridSpan w:val="3"/>
            <w:tcBorders>
              <w:top w:val="nil"/>
              <w:left w:val="nil"/>
              <w:bottom w:val="nil"/>
              <w:right w:val="nil"/>
            </w:tcBorders>
            <w:shd w:val="clear" w:color="auto" w:fill="FFFFFF" w:themeFill="background1"/>
          </w:tcPr>
          <w:p w:rsidR="008101AE" w:rsidRPr="00625B6E" w:rsidRDefault="004C5AA8">
            <w:pPr>
              <w:ind w:left="60" w:right="60"/>
            </w:pPr>
            <w:r w:rsidRPr="00625B6E">
              <w:t>a. Dependent Variable: AbsUt</w:t>
            </w:r>
          </w:p>
        </w:tc>
      </w:tr>
    </w:tbl>
    <w:p w:rsidR="008101AE" w:rsidRDefault="004C5AA8">
      <w:pPr>
        <w:ind w:firstLine="720"/>
        <w:jc w:val="both"/>
        <w:rPr>
          <w:sz w:val="22"/>
          <w:szCs w:val="22"/>
        </w:rPr>
      </w:pPr>
      <w:r>
        <w:rPr>
          <w:sz w:val="22"/>
          <w:szCs w:val="22"/>
        </w:rPr>
        <w:t>Berdasarkan tabel diatas dapat dilihat bahwa tingkat signifikansi variabel diatas lebih besar dari 0</w:t>
      </w:r>
      <w:proofErr w:type="gramStart"/>
      <w:r>
        <w:rPr>
          <w:sz w:val="22"/>
          <w:szCs w:val="22"/>
        </w:rPr>
        <w:t>,05</w:t>
      </w:r>
      <w:proofErr w:type="gramEnd"/>
      <w:r>
        <w:rPr>
          <w:sz w:val="22"/>
          <w:szCs w:val="22"/>
        </w:rPr>
        <w:t xml:space="preserve"> sehingga dapat disimpulkan bahwa model regresi yang ada terbebas dari asumsi heterokedastisitas.</w:t>
      </w:r>
    </w:p>
    <w:p w:rsidR="008101AE" w:rsidRDefault="008101AE">
      <w:pPr>
        <w:jc w:val="both"/>
        <w:rPr>
          <w:sz w:val="22"/>
          <w:szCs w:val="22"/>
        </w:rPr>
      </w:pPr>
    </w:p>
    <w:p w:rsidR="008101AE" w:rsidRDefault="004C5AA8">
      <w:pPr>
        <w:jc w:val="both"/>
        <w:rPr>
          <w:sz w:val="22"/>
          <w:szCs w:val="22"/>
        </w:rPr>
      </w:pPr>
      <w:r>
        <w:rPr>
          <w:b/>
          <w:sz w:val="22"/>
          <w:szCs w:val="22"/>
        </w:rPr>
        <w:t>Hasil Analisis Regresi Linier Berganda</w:t>
      </w:r>
    </w:p>
    <w:p w:rsidR="008101AE" w:rsidRDefault="004C5AA8">
      <w:pPr>
        <w:jc w:val="both"/>
        <w:rPr>
          <w:sz w:val="22"/>
          <w:szCs w:val="22"/>
        </w:rPr>
      </w:pPr>
      <w:r>
        <w:rPr>
          <w:b/>
          <w:sz w:val="22"/>
          <w:szCs w:val="22"/>
        </w:rPr>
        <w:tab/>
      </w:r>
      <w:proofErr w:type="gramStart"/>
      <w:r>
        <w:rPr>
          <w:sz w:val="22"/>
          <w:szCs w:val="22"/>
        </w:rPr>
        <w:t>Untuk membuktikan apaka hipotesis diterima atau ditolak, maka dilakukan uji regresi linier berganda.</w:t>
      </w:r>
      <w:proofErr w:type="gramEnd"/>
      <w:r>
        <w:rPr>
          <w:sz w:val="22"/>
          <w:szCs w:val="22"/>
        </w:rPr>
        <w:t xml:space="preserve"> </w:t>
      </w:r>
      <w:proofErr w:type="gramStart"/>
      <w:r>
        <w:rPr>
          <w:sz w:val="22"/>
          <w:szCs w:val="22"/>
        </w:rPr>
        <w:t>Dari pengujian yang dilakukan, diperoleh hasil koefisien regresi dapat dilihat pada tabel 6.</w:t>
      </w:r>
      <w:proofErr w:type="gramEnd"/>
    </w:p>
    <w:p w:rsidR="008101AE" w:rsidRDefault="004C5AA8">
      <w:pPr>
        <w:jc w:val="center"/>
        <w:rPr>
          <w:sz w:val="22"/>
          <w:szCs w:val="22"/>
        </w:rPr>
      </w:pPr>
      <w:r>
        <w:rPr>
          <w:b/>
          <w:sz w:val="22"/>
          <w:szCs w:val="22"/>
        </w:rPr>
        <w:t>Tabel 6</w:t>
      </w:r>
    </w:p>
    <w:tbl>
      <w:tblPr>
        <w:tblStyle w:val="a4"/>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754"/>
        <w:gridCol w:w="1210"/>
        <w:gridCol w:w="1052"/>
        <w:gridCol w:w="1095"/>
      </w:tblGrid>
      <w:tr w:rsidR="00625B6E" w:rsidRPr="00625B6E" w:rsidTr="00070F47">
        <w:trPr>
          <w:tblHeader/>
          <w:jc w:val="center"/>
        </w:trPr>
        <w:tc>
          <w:tcPr>
            <w:tcW w:w="4111" w:type="dxa"/>
            <w:gridSpan w:val="4"/>
            <w:tcBorders>
              <w:top w:val="nil"/>
              <w:left w:val="nil"/>
              <w:bottom w:val="nil"/>
              <w:right w:val="nil"/>
            </w:tcBorders>
            <w:shd w:val="clear" w:color="auto" w:fill="FFFFFF" w:themeFill="background1"/>
            <w:vAlign w:val="center"/>
          </w:tcPr>
          <w:p w:rsidR="008101AE" w:rsidRPr="00625B6E" w:rsidRDefault="004C5AA8">
            <w:pPr>
              <w:ind w:left="60" w:right="60"/>
              <w:jc w:val="center"/>
            </w:pPr>
            <w:r w:rsidRPr="00625B6E">
              <w:rPr>
                <w:b/>
              </w:rPr>
              <w:t>Coefficients</w:t>
            </w:r>
            <w:r w:rsidRPr="00625B6E">
              <w:rPr>
                <w:b/>
                <w:vertAlign w:val="superscript"/>
              </w:rPr>
              <w:t>a</w:t>
            </w:r>
          </w:p>
        </w:tc>
      </w:tr>
      <w:tr w:rsidR="00625B6E" w:rsidRPr="00070F47" w:rsidTr="00070F47">
        <w:trPr>
          <w:trHeight w:val="320"/>
          <w:tblHeader/>
          <w:jc w:val="center"/>
        </w:trPr>
        <w:tc>
          <w:tcPr>
            <w:tcW w:w="1964" w:type="dxa"/>
            <w:gridSpan w:val="2"/>
            <w:vMerge w:val="restart"/>
            <w:tcBorders>
              <w:top w:val="nil"/>
              <w:left w:val="nil"/>
              <w:bottom w:val="nil"/>
              <w:right w:val="nil"/>
            </w:tcBorders>
            <w:shd w:val="clear" w:color="auto" w:fill="FFFFFF" w:themeFill="background1"/>
            <w:vAlign w:val="center"/>
          </w:tcPr>
          <w:p w:rsidR="008101AE" w:rsidRPr="00070F47" w:rsidRDefault="004C5AA8" w:rsidP="00070F47">
            <w:pPr>
              <w:ind w:left="62" w:right="62"/>
              <w:contextualSpacing/>
              <w:jc w:val="center"/>
              <w:rPr>
                <w:b/>
              </w:rPr>
            </w:pPr>
            <w:r w:rsidRPr="00070F47">
              <w:rPr>
                <w:b/>
              </w:rPr>
              <w:t>Model</w:t>
            </w:r>
          </w:p>
        </w:tc>
        <w:tc>
          <w:tcPr>
            <w:tcW w:w="1052" w:type="dxa"/>
            <w:vMerge w:val="restart"/>
            <w:tcBorders>
              <w:top w:val="nil"/>
              <w:left w:val="single" w:sz="8" w:space="0" w:color="E0E0E0"/>
              <w:bottom w:val="nil"/>
              <w:right w:val="single" w:sz="8" w:space="0" w:color="E0E0E0"/>
            </w:tcBorders>
            <w:shd w:val="clear" w:color="auto" w:fill="FFFFFF" w:themeFill="background1"/>
            <w:vAlign w:val="center"/>
          </w:tcPr>
          <w:p w:rsidR="008101AE" w:rsidRPr="00070F47" w:rsidRDefault="00625B6E" w:rsidP="00070F47">
            <w:pPr>
              <w:ind w:left="62" w:right="62"/>
              <w:contextualSpacing/>
              <w:jc w:val="center"/>
              <w:rPr>
                <w:b/>
              </w:rPr>
            </w:pPr>
            <w:r w:rsidRPr="00070F47">
              <w:rPr>
                <w:b/>
              </w:rPr>
              <w:t>T</w:t>
            </w:r>
          </w:p>
        </w:tc>
        <w:tc>
          <w:tcPr>
            <w:tcW w:w="1095" w:type="dxa"/>
            <w:vMerge w:val="restart"/>
            <w:tcBorders>
              <w:top w:val="nil"/>
              <w:left w:val="single" w:sz="8" w:space="0" w:color="E0E0E0"/>
              <w:bottom w:val="nil"/>
              <w:right w:val="single" w:sz="8" w:space="0" w:color="E0E0E0"/>
            </w:tcBorders>
            <w:shd w:val="clear" w:color="auto" w:fill="FFFFFF" w:themeFill="background1"/>
            <w:vAlign w:val="center"/>
          </w:tcPr>
          <w:p w:rsidR="008101AE" w:rsidRPr="00070F47" w:rsidRDefault="004C5AA8" w:rsidP="00070F47">
            <w:pPr>
              <w:ind w:left="62" w:right="62"/>
              <w:contextualSpacing/>
              <w:jc w:val="center"/>
              <w:rPr>
                <w:b/>
              </w:rPr>
            </w:pPr>
            <w:r w:rsidRPr="00070F47">
              <w:rPr>
                <w:b/>
              </w:rPr>
              <w:t>Sig.</w:t>
            </w:r>
          </w:p>
        </w:tc>
      </w:tr>
      <w:tr w:rsidR="00625B6E" w:rsidRPr="00625B6E" w:rsidTr="00070F47">
        <w:trPr>
          <w:trHeight w:val="264"/>
          <w:tblHeader/>
          <w:jc w:val="center"/>
        </w:trPr>
        <w:tc>
          <w:tcPr>
            <w:tcW w:w="1964" w:type="dxa"/>
            <w:gridSpan w:val="2"/>
            <w:vMerge/>
            <w:tcBorders>
              <w:top w:val="nil"/>
              <w:left w:val="nil"/>
              <w:bottom w:val="nil"/>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52" w:type="dxa"/>
            <w:vMerge/>
            <w:tcBorders>
              <w:top w:val="nil"/>
              <w:left w:val="single" w:sz="8" w:space="0" w:color="E0E0E0"/>
              <w:bottom w:val="nil"/>
              <w:right w:val="single" w:sz="8" w:space="0" w:color="E0E0E0"/>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095" w:type="dxa"/>
            <w:vMerge/>
            <w:tcBorders>
              <w:top w:val="nil"/>
              <w:left w:val="single" w:sz="8" w:space="0" w:color="E0E0E0"/>
              <w:bottom w:val="nil"/>
              <w:right w:val="single" w:sz="8" w:space="0" w:color="E0E0E0"/>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r>
      <w:tr w:rsidR="00625B6E" w:rsidRPr="00625B6E" w:rsidTr="00625B6E">
        <w:trPr>
          <w:jc w:val="center"/>
        </w:trPr>
        <w:tc>
          <w:tcPr>
            <w:tcW w:w="754" w:type="dxa"/>
            <w:vMerge w:val="restart"/>
            <w:tcBorders>
              <w:top w:val="single" w:sz="8" w:space="0" w:color="152935"/>
              <w:left w:val="nil"/>
              <w:bottom w:val="single" w:sz="8" w:space="0" w:color="152935"/>
              <w:right w:val="nil"/>
            </w:tcBorders>
            <w:shd w:val="clear" w:color="auto" w:fill="FFFFFF" w:themeFill="background1"/>
          </w:tcPr>
          <w:p w:rsidR="008101AE" w:rsidRPr="00625B6E" w:rsidRDefault="004C5AA8">
            <w:pPr>
              <w:ind w:left="60" w:right="60"/>
            </w:pPr>
            <w:r w:rsidRPr="00625B6E">
              <w:t>1</w:t>
            </w:r>
          </w:p>
        </w:tc>
        <w:tc>
          <w:tcPr>
            <w:tcW w:w="1210" w:type="dxa"/>
            <w:tcBorders>
              <w:top w:val="single" w:sz="8" w:space="0" w:color="152935"/>
              <w:left w:val="nil"/>
              <w:bottom w:val="single" w:sz="8" w:space="0" w:color="AEAEAE"/>
              <w:right w:val="nil"/>
            </w:tcBorders>
            <w:shd w:val="clear" w:color="auto" w:fill="FFFFFF" w:themeFill="background1"/>
          </w:tcPr>
          <w:p w:rsidR="008101AE" w:rsidRPr="00625B6E" w:rsidRDefault="004C5AA8">
            <w:pPr>
              <w:ind w:left="60" w:right="60"/>
            </w:pPr>
            <w:r w:rsidRPr="00625B6E">
              <w:t>(Constant)</w:t>
            </w:r>
          </w:p>
        </w:tc>
        <w:tc>
          <w:tcPr>
            <w:tcW w:w="1052" w:type="dxa"/>
            <w:tcBorders>
              <w:top w:val="single" w:sz="8" w:space="0" w:color="152935"/>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1.851</w:t>
            </w:r>
          </w:p>
        </w:tc>
        <w:tc>
          <w:tcPr>
            <w:tcW w:w="1095" w:type="dxa"/>
            <w:tcBorders>
              <w:top w:val="single" w:sz="8" w:space="0" w:color="152935"/>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.075</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KI</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2.263</w:t>
            </w:r>
          </w:p>
        </w:tc>
        <w:tc>
          <w:tcPr>
            <w:tcW w:w="1095"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.032</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KA</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-1.886</w:t>
            </w:r>
          </w:p>
        </w:tc>
        <w:tc>
          <w:tcPr>
            <w:tcW w:w="1095"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.070</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AEAEAE"/>
              <w:right w:val="nil"/>
            </w:tcBorders>
            <w:shd w:val="clear" w:color="auto" w:fill="FFFFFF" w:themeFill="background1"/>
          </w:tcPr>
          <w:p w:rsidR="008101AE" w:rsidRPr="00625B6E" w:rsidRDefault="004C5AA8">
            <w:pPr>
              <w:ind w:left="60" w:right="60"/>
            </w:pPr>
            <w:r w:rsidRPr="00625B6E">
              <w:t>KINS</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-3.232</w:t>
            </w:r>
          </w:p>
        </w:tc>
        <w:tc>
          <w:tcPr>
            <w:tcW w:w="1095" w:type="dxa"/>
            <w:tcBorders>
              <w:top w:val="single" w:sz="8" w:space="0" w:color="AEAEAE"/>
              <w:left w:val="single" w:sz="8" w:space="0" w:color="E0E0E0"/>
              <w:bottom w:val="single" w:sz="8" w:space="0" w:color="AEAEAE"/>
              <w:right w:val="single" w:sz="8" w:space="0" w:color="E0E0E0"/>
            </w:tcBorders>
            <w:shd w:val="clear" w:color="auto" w:fill="FFFFFF" w:themeFill="background1"/>
          </w:tcPr>
          <w:p w:rsidR="008101AE" w:rsidRPr="00625B6E" w:rsidRDefault="004C5AA8">
            <w:pPr>
              <w:ind w:left="60" w:right="60"/>
              <w:jc w:val="right"/>
            </w:pPr>
            <w:r w:rsidRPr="00625B6E">
              <w:t>.003</w:t>
            </w:r>
          </w:p>
        </w:tc>
      </w:tr>
      <w:tr w:rsidR="00625B6E" w:rsidRPr="00625B6E" w:rsidTr="00625B6E">
        <w:trPr>
          <w:jc w:val="center"/>
        </w:trPr>
        <w:tc>
          <w:tcPr>
            <w:tcW w:w="754" w:type="dxa"/>
            <w:vMerge/>
            <w:tcBorders>
              <w:top w:val="single" w:sz="8" w:space="0" w:color="152935"/>
              <w:left w:val="nil"/>
              <w:bottom w:val="single" w:sz="8" w:space="0" w:color="152935"/>
              <w:right w:val="nil"/>
            </w:tcBorders>
            <w:shd w:val="clear" w:color="auto" w:fill="FFFFFF" w:themeFill="background1"/>
          </w:tcPr>
          <w:p w:rsidR="008101AE" w:rsidRPr="00625B6E" w:rsidRDefault="008101AE">
            <w:pPr>
              <w:widowControl w:val="0"/>
              <w:pBdr>
                <w:top w:val="nil"/>
                <w:left w:val="nil"/>
                <w:bottom w:val="nil"/>
                <w:right w:val="nil"/>
                <w:between w:val="nil"/>
              </w:pBdr>
              <w:spacing w:line="276" w:lineRule="auto"/>
            </w:pPr>
          </w:p>
        </w:tc>
        <w:tc>
          <w:tcPr>
            <w:tcW w:w="1210" w:type="dxa"/>
            <w:tcBorders>
              <w:top w:val="single" w:sz="8" w:space="0" w:color="AEAEAE"/>
              <w:left w:val="nil"/>
              <w:bottom w:val="single" w:sz="8" w:space="0" w:color="152935"/>
              <w:right w:val="nil"/>
            </w:tcBorders>
            <w:shd w:val="clear" w:color="auto" w:fill="FFFFFF" w:themeFill="background1"/>
          </w:tcPr>
          <w:p w:rsidR="008101AE" w:rsidRPr="00625B6E" w:rsidRDefault="004C5AA8">
            <w:pPr>
              <w:ind w:left="60" w:right="60"/>
            </w:pPr>
            <w:r w:rsidRPr="00625B6E">
              <w:t>CSR</w:t>
            </w:r>
          </w:p>
        </w:tc>
        <w:tc>
          <w:tcPr>
            <w:tcW w:w="1052" w:type="dxa"/>
            <w:tcBorders>
              <w:top w:val="single" w:sz="8" w:space="0" w:color="AEAEAE"/>
              <w:left w:val="single" w:sz="8" w:space="0" w:color="E0E0E0"/>
              <w:bottom w:val="single" w:sz="8" w:space="0" w:color="152935"/>
              <w:right w:val="single" w:sz="8" w:space="0" w:color="E0E0E0"/>
            </w:tcBorders>
            <w:shd w:val="clear" w:color="auto" w:fill="FFFFFF" w:themeFill="background1"/>
          </w:tcPr>
          <w:p w:rsidR="008101AE" w:rsidRPr="00625B6E" w:rsidRDefault="004C5AA8">
            <w:pPr>
              <w:ind w:left="60" w:right="60"/>
              <w:jc w:val="right"/>
            </w:pPr>
            <w:r w:rsidRPr="00625B6E">
              <w:t>2.328</w:t>
            </w:r>
          </w:p>
        </w:tc>
        <w:tc>
          <w:tcPr>
            <w:tcW w:w="1095" w:type="dxa"/>
            <w:tcBorders>
              <w:top w:val="single" w:sz="8" w:space="0" w:color="AEAEAE"/>
              <w:left w:val="single" w:sz="8" w:space="0" w:color="E0E0E0"/>
              <w:bottom w:val="single" w:sz="8" w:space="0" w:color="152935"/>
              <w:right w:val="single" w:sz="8" w:space="0" w:color="E0E0E0"/>
            </w:tcBorders>
            <w:shd w:val="clear" w:color="auto" w:fill="FFFFFF" w:themeFill="background1"/>
          </w:tcPr>
          <w:p w:rsidR="008101AE" w:rsidRPr="00625B6E" w:rsidRDefault="004C5AA8">
            <w:pPr>
              <w:ind w:left="60" w:right="60"/>
              <w:jc w:val="right"/>
            </w:pPr>
            <w:r w:rsidRPr="00625B6E">
              <w:t>.028</w:t>
            </w:r>
          </w:p>
        </w:tc>
      </w:tr>
      <w:tr w:rsidR="00625B6E" w:rsidRPr="00625B6E" w:rsidTr="00625B6E">
        <w:trPr>
          <w:jc w:val="center"/>
        </w:trPr>
        <w:tc>
          <w:tcPr>
            <w:tcW w:w="4111" w:type="dxa"/>
            <w:gridSpan w:val="4"/>
            <w:tcBorders>
              <w:top w:val="nil"/>
              <w:left w:val="nil"/>
              <w:bottom w:val="nil"/>
              <w:right w:val="nil"/>
            </w:tcBorders>
            <w:shd w:val="clear" w:color="auto" w:fill="FFFFFF" w:themeFill="background1"/>
          </w:tcPr>
          <w:p w:rsidR="008101AE" w:rsidRPr="00625B6E" w:rsidRDefault="004C5AA8">
            <w:pPr>
              <w:ind w:left="60" w:right="60"/>
            </w:pPr>
            <w:r w:rsidRPr="00625B6E">
              <w:t>a. Dependent Variable: ETR</w:t>
            </w:r>
          </w:p>
        </w:tc>
      </w:tr>
    </w:tbl>
    <w:p w:rsidR="008101AE" w:rsidRDefault="004C5AA8">
      <w:pPr>
        <w:rPr>
          <w:sz w:val="22"/>
          <w:szCs w:val="22"/>
        </w:rPr>
      </w:pPr>
      <w:r>
        <w:rPr>
          <w:b/>
          <w:sz w:val="22"/>
          <w:szCs w:val="22"/>
        </w:rPr>
        <w:tab/>
      </w:r>
      <w:r>
        <w:rPr>
          <w:sz w:val="22"/>
          <w:szCs w:val="22"/>
        </w:rPr>
        <w:t>Dari tabel diatas dapat dibuat persamaan regresi liniear berganda dalam penelitian ini sebagai berikut:</w:t>
      </w:r>
    </w:p>
    <w:p w:rsidR="008101AE" w:rsidRDefault="004C5AA8">
      <w:pPr>
        <w:widowControl w:val="0"/>
        <w:pBdr>
          <w:top w:val="nil"/>
          <w:left w:val="nil"/>
          <w:bottom w:val="nil"/>
          <w:right w:val="nil"/>
          <w:between w:val="nil"/>
        </w:pBdr>
        <w:jc w:val="both"/>
        <w:rPr>
          <w:color w:val="000000"/>
          <w:sz w:val="22"/>
          <w:szCs w:val="22"/>
        </w:rPr>
      </w:pPr>
      <w:r>
        <w:rPr>
          <w:color w:val="000000"/>
          <w:sz w:val="22"/>
          <w:szCs w:val="22"/>
        </w:rPr>
        <w:t>ETR = 0,509 + 0,468(KI)</w:t>
      </w:r>
      <w:r>
        <w:rPr>
          <w:rFonts w:ascii="Calibri" w:eastAsia="Calibri" w:hAnsi="Calibri" w:cs="Calibri"/>
          <w:color w:val="000000"/>
          <w:sz w:val="22"/>
          <w:szCs w:val="22"/>
        </w:rPr>
        <w:t xml:space="preserve"> </w:t>
      </w:r>
      <w:r>
        <w:rPr>
          <w:color w:val="000000"/>
          <w:sz w:val="22"/>
          <w:szCs w:val="22"/>
        </w:rPr>
        <w:t>- 0,130 (KA) – 0,353(KINS) + 0,693 (CSR)</w:t>
      </w:r>
    </w:p>
    <w:p w:rsidR="00070F47" w:rsidRDefault="00070F47">
      <w:pPr>
        <w:widowControl w:val="0"/>
        <w:pBdr>
          <w:top w:val="nil"/>
          <w:left w:val="nil"/>
          <w:bottom w:val="nil"/>
          <w:right w:val="nil"/>
          <w:between w:val="nil"/>
        </w:pBdr>
        <w:jc w:val="both"/>
        <w:rPr>
          <w:color w:val="000000"/>
          <w:sz w:val="22"/>
          <w:szCs w:val="22"/>
        </w:rPr>
      </w:pPr>
    </w:p>
    <w:p w:rsidR="008101AE" w:rsidRDefault="004C5AA8">
      <w:pPr>
        <w:rPr>
          <w:sz w:val="22"/>
          <w:szCs w:val="22"/>
        </w:rPr>
      </w:pPr>
      <w:r>
        <w:rPr>
          <w:b/>
          <w:sz w:val="22"/>
          <w:szCs w:val="22"/>
        </w:rPr>
        <w:t>Hasil Uji Koefisien Determinasi (R</w:t>
      </w:r>
      <w:r>
        <w:rPr>
          <w:b/>
          <w:sz w:val="22"/>
          <w:szCs w:val="22"/>
          <w:vertAlign w:val="superscript"/>
        </w:rPr>
        <w:t>2</w:t>
      </w:r>
      <w:r>
        <w:rPr>
          <w:b/>
          <w:sz w:val="22"/>
          <w:szCs w:val="22"/>
        </w:rPr>
        <w:t>)</w:t>
      </w:r>
    </w:p>
    <w:p w:rsidR="008101AE" w:rsidRDefault="004C5AA8">
      <w:pPr>
        <w:jc w:val="center"/>
        <w:rPr>
          <w:sz w:val="22"/>
          <w:szCs w:val="22"/>
        </w:rPr>
      </w:pPr>
      <w:r>
        <w:rPr>
          <w:b/>
          <w:sz w:val="22"/>
          <w:szCs w:val="22"/>
        </w:rPr>
        <w:t>Tabel 7</w:t>
      </w:r>
    </w:p>
    <w:tbl>
      <w:tblPr>
        <w:tblStyle w:val="a5"/>
        <w:tblW w:w="43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795"/>
        <w:gridCol w:w="1024"/>
        <w:gridCol w:w="1086"/>
        <w:gridCol w:w="1469"/>
      </w:tblGrid>
      <w:tr w:rsidR="00070F47" w:rsidRPr="00070F47" w:rsidTr="00070F47">
        <w:trPr>
          <w:jc w:val="center"/>
        </w:trPr>
        <w:tc>
          <w:tcPr>
            <w:tcW w:w="4374" w:type="dxa"/>
            <w:gridSpan w:val="4"/>
            <w:tcBorders>
              <w:top w:val="nil"/>
              <w:left w:val="nil"/>
              <w:bottom w:val="nil"/>
              <w:right w:val="nil"/>
            </w:tcBorders>
            <w:shd w:val="clear" w:color="auto" w:fill="FFFFFF" w:themeFill="background1"/>
            <w:vAlign w:val="center"/>
          </w:tcPr>
          <w:p w:rsidR="008101AE" w:rsidRPr="00070F47" w:rsidRDefault="004C5AA8">
            <w:pPr>
              <w:ind w:left="60" w:right="60"/>
              <w:jc w:val="center"/>
            </w:pPr>
            <w:r w:rsidRPr="00070F47">
              <w:rPr>
                <w:b/>
              </w:rPr>
              <w:t>Model Summary</w:t>
            </w:r>
            <w:r w:rsidRPr="00070F47">
              <w:rPr>
                <w:b/>
                <w:vertAlign w:val="superscript"/>
              </w:rPr>
              <w:t>b</w:t>
            </w:r>
          </w:p>
        </w:tc>
      </w:tr>
      <w:tr w:rsidR="00070F47" w:rsidRPr="00070F47" w:rsidTr="00070F47">
        <w:trPr>
          <w:jc w:val="center"/>
        </w:trPr>
        <w:tc>
          <w:tcPr>
            <w:tcW w:w="795" w:type="dxa"/>
            <w:tcBorders>
              <w:top w:val="nil"/>
              <w:left w:val="nil"/>
              <w:bottom w:val="single" w:sz="8" w:space="0" w:color="152935"/>
              <w:right w:val="nil"/>
            </w:tcBorders>
            <w:shd w:val="clear" w:color="auto" w:fill="FFFFFF" w:themeFill="background1"/>
          </w:tcPr>
          <w:p w:rsidR="008101AE" w:rsidRPr="00070F47" w:rsidRDefault="004C5AA8">
            <w:pPr>
              <w:ind w:left="60" w:right="60"/>
            </w:pPr>
            <w:r w:rsidRPr="00070F47">
              <w:t>Model</w:t>
            </w:r>
          </w:p>
        </w:tc>
        <w:tc>
          <w:tcPr>
            <w:tcW w:w="1024" w:type="dxa"/>
            <w:tcBorders>
              <w:top w:val="nil"/>
              <w:left w:val="nil"/>
              <w:bottom w:val="single" w:sz="8" w:space="0" w:color="152935"/>
              <w:right w:val="single" w:sz="8" w:space="0" w:color="E0E0E0"/>
            </w:tcBorders>
            <w:shd w:val="clear" w:color="auto" w:fill="FFFFFF" w:themeFill="background1"/>
          </w:tcPr>
          <w:p w:rsidR="008101AE" w:rsidRPr="00070F47" w:rsidRDefault="004C5AA8">
            <w:pPr>
              <w:ind w:left="60" w:right="60"/>
              <w:jc w:val="center"/>
            </w:pPr>
            <w:r w:rsidRPr="00070F47">
              <w:t>R</w:t>
            </w:r>
          </w:p>
        </w:tc>
        <w:tc>
          <w:tcPr>
            <w:tcW w:w="1086" w:type="dxa"/>
            <w:tcBorders>
              <w:top w:val="nil"/>
              <w:left w:val="single" w:sz="8" w:space="0" w:color="E0E0E0"/>
              <w:bottom w:val="single" w:sz="8" w:space="0" w:color="152935"/>
              <w:right w:val="single" w:sz="8" w:space="0" w:color="E0E0E0"/>
            </w:tcBorders>
            <w:shd w:val="clear" w:color="auto" w:fill="FFFFFF" w:themeFill="background1"/>
          </w:tcPr>
          <w:p w:rsidR="008101AE" w:rsidRPr="00070F47" w:rsidRDefault="004C5AA8">
            <w:pPr>
              <w:ind w:left="60" w:right="60"/>
              <w:jc w:val="center"/>
            </w:pPr>
            <w:r w:rsidRPr="00070F47">
              <w:t>R Square</w:t>
            </w:r>
          </w:p>
        </w:tc>
        <w:tc>
          <w:tcPr>
            <w:tcW w:w="1469" w:type="dxa"/>
            <w:tcBorders>
              <w:top w:val="nil"/>
              <w:left w:val="single" w:sz="8" w:space="0" w:color="E0E0E0"/>
              <w:bottom w:val="single" w:sz="8" w:space="0" w:color="152935"/>
              <w:right w:val="single" w:sz="8" w:space="0" w:color="E0E0E0"/>
            </w:tcBorders>
            <w:shd w:val="clear" w:color="auto" w:fill="FFFFFF" w:themeFill="background1"/>
          </w:tcPr>
          <w:p w:rsidR="008101AE" w:rsidRPr="00070F47" w:rsidRDefault="004C5AA8">
            <w:pPr>
              <w:ind w:left="60" w:right="60"/>
              <w:jc w:val="center"/>
            </w:pPr>
            <w:r w:rsidRPr="00070F47">
              <w:t>Adjusted R Square</w:t>
            </w:r>
          </w:p>
        </w:tc>
      </w:tr>
      <w:tr w:rsidR="00070F47" w:rsidRPr="00070F47" w:rsidTr="00070F47">
        <w:trPr>
          <w:jc w:val="center"/>
        </w:trPr>
        <w:tc>
          <w:tcPr>
            <w:tcW w:w="795" w:type="dxa"/>
            <w:tcBorders>
              <w:top w:val="single" w:sz="8" w:space="0" w:color="152935"/>
              <w:left w:val="nil"/>
              <w:bottom w:val="single" w:sz="8" w:space="0" w:color="152935"/>
              <w:right w:val="nil"/>
            </w:tcBorders>
            <w:shd w:val="clear" w:color="auto" w:fill="FFFFFF" w:themeFill="background1"/>
          </w:tcPr>
          <w:p w:rsidR="008101AE" w:rsidRPr="00070F47" w:rsidRDefault="004C5AA8">
            <w:pPr>
              <w:ind w:left="60" w:right="60"/>
            </w:pPr>
            <w:r w:rsidRPr="00070F47">
              <w:t>1</w:t>
            </w:r>
          </w:p>
        </w:tc>
        <w:tc>
          <w:tcPr>
            <w:tcW w:w="1024" w:type="dxa"/>
            <w:tcBorders>
              <w:top w:val="single" w:sz="8" w:space="0" w:color="152935"/>
              <w:left w:val="nil"/>
              <w:bottom w:val="single" w:sz="8" w:space="0" w:color="152935"/>
              <w:right w:val="single" w:sz="8" w:space="0" w:color="E0E0E0"/>
            </w:tcBorders>
            <w:shd w:val="clear" w:color="auto" w:fill="FFFFFF" w:themeFill="background1"/>
          </w:tcPr>
          <w:p w:rsidR="008101AE" w:rsidRPr="00070F47" w:rsidRDefault="004C5AA8">
            <w:pPr>
              <w:ind w:left="60" w:right="60"/>
              <w:jc w:val="right"/>
            </w:pPr>
            <w:r w:rsidRPr="00070F47">
              <w:t>.560</w:t>
            </w:r>
            <w:r w:rsidRPr="00070F47">
              <w:rPr>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hemeFill="background1"/>
          </w:tcPr>
          <w:p w:rsidR="008101AE" w:rsidRPr="00070F47" w:rsidRDefault="004C5AA8">
            <w:pPr>
              <w:ind w:left="60" w:right="60"/>
              <w:jc w:val="right"/>
            </w:pPr>
            <w:r w:rsidRPr="00070F47">
              <w:t>.313</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hemeFill="background1"/>
          </w:tcPr>
          <w:p w:rsidR="008101AE" w:rsidRPr="00070F47" w:rsidRDefault="004C5AA8">
            <w:pPr>
              <w:ind w:left="60" w:right="60"/>
              <w:jc w:val="right"/>
            </w:pPr>
            <w:r w:rsidRPr="00070F47">
              <w:t>.211</w:t>
            </w:r>
          </w:p>
        </w:tc>
      </w:tr>
      <w:tr w:rsidR="00070F47" w:rsidRPr="00070F47" w:rsidTr="00070F47">
        <w:trPr>
          <w:jc w:val="center"/>
        </w:trPr>
        <w:tc>
          <w:tcPr>
            <w:tcW w:w="4374" w:type="dxa"/>
            <w:gridSpan w:val="4"/>
            <w:tcBorders>
              <w:top w:val="nil"/>
              <w:left w:val="nil"/>
              <w:bottom w:val="nil"/>
              <w:right w:val="nil"/>
            </w:tcBorders>
            <w:shd w:val="clear" w:color="auto" w:fill="FFFFFF" w:themeFill="background1"/>
          </w:tcPr>
          <w:p w:rsidR="008101AE" w:rsidRPr="00070F47" w:rsidRDefault="004C5AA8">
            <w:pPr>
              <w:ind w:left="60" w:right="60"/>
            </w:pPr>
            <w:r w:rsidRPr="00070F47">
              <w:t>a. Predictors: (Constant), CSR, KA, KI, KINS</w:t>
            </w:r>
          </w:p>
        </w:tc>
      </w:tr>
      <w:tr w:rsidR="00070F47" w:rsidRPr="00070F47" w:rsidTr="00070F47">
        <w:trPr>
          <w:jc w:val="center"/>
        </w:trPr>
        <w:tc>
          <w:tcPr>
            <w:tcW w:w="4374" w:type="dxa"/>
            <w:gridSpan w:val="4"/>
            <w:tcBorders>
              <w:top w:val="nil"/>
              <w:left w:val="nil"/>
              <w:bottom w:val="nil"/>
              <w:right w:val="nil"/>
            </w:tcBorders>
            <w:shd w:val="clear" w:color="auto" w:fill="FFFFFF" w:themeFill="background1"/>
          </w:tcPr>
          <w:p w:rsidR="008101AE" w:rsidRPr="00070F47" w:rsidRDefault="004C5AA8">
            <w:pPr>
              <w:ind w:left="60" w:right="60"/>
            </w:pPr>
            <w:r w:rsidRPr="00070F47">
              <w:t>b. Dependent Variable: ETR</w:t>
            </w:r>
          </w:p>
        </w:tc>
      </w:tr>
    </w:tbl>
    <w:p w:rsidR="008101AE" w:rsidRDefault="004C5AA8">
      <w:pPr>
        <w:jc w:val="both"/>
        <w:rPr>
          <w:sz w:val="22"/>
          <w:szCs w:val="22"/>
        </w:rPr>
      </w:pPr>
      <w:r>
        <w:rPr>
          <w:sz w:val="22"/>
          <w:szCs w:val="22"/>
        </w:rPr>
        <w:tab/>
        <w:t>Hasil perhitungan analisis regresi diperoleh adjusted R square (R</w:t>
      </w:r>
      <w:r>
        <w:rPr>
          <w:b/>
          <w:sz w:val="22"/>
          <w:szCs w:val="22"/>
          <w:vertAlign w:val="superscript"/>
        </w:rPr>
        <w:t>2</w:t>
      </w:r>
      <w:r>
        <w:rPr>
          <w:sz w:val="22"/>
          <w:szCs w:val="22"/>
        </w:rPr>
        <w:t xml:space="preserve">) sebesar 0,211 dengan demikian dapat disimpulkan bahwa Agresivitas Pajak dapat diterangkan oleh faktor </w:t>
      </w:r>
      <w:r>
        <w:rPr>
          <w:i/>
          <w:sz w:val="22"/>
          <w:szCs w:val="22"/>
        </w:rPr>
        <w:t>corporate governance</w:t>
      </w:r>
      <w:r>
        <w:rPr>
          <w:sz w:val="22"/>
          <w:szCs w:val="22"/>
        </w:rPr>
        <w:t xml:space="preserve"> dan pengungkapan </w:t>
      </w:r>
      <w:r>
        <w:rPr>
          <w:i/>
          <w:sz w:val="22"/>
          <w:szCs w:val="22"/>
        </w:rPr>
        <w:t>corporate social responsibility</w:t>
      </w:r>
      <w:r>
        <w:rPr>
          <w:sz w:val="22"/>
          <w:szCs w:val="22"/>
        </w:rPr>
        <w:t xml:space="preserve"> sebesar 21,1% sedangkan sisanya 79,9% mengambarkan variabel-variabel lainnya yang tidak diamati dalam penelitian ini</w:t>
      </w:r>
    </w:p>
    <w:p w:rsidR="008101AE" w:rsidRDefault="004C5AA8">
      <w:pPr>
        <w:jc w:val="both"/>
        <w:rPr>
          <w:sz w:val="22"/>
          <w:szCs w:val="22"/>
        </w:rPr>
      </w:pPr>
      <w:r>
        <w:rPr>
          <w:sz w:val="22"/>
          <w:szCs w:val="22"/>
        </w:rPr>
        <w:t>.</w:t>
      </w:r>
    </w:p>
    <w:p w:rsidR="008101AE" w:rsidRDefault="004C5AA8">
      <w:pPr>
        <w:jc w:val="both"/>
        <w:rPr>
          <w:sz w:val="22"/>
          <w:szCs w:val="22"/>
        </w:rPr>
      </w:pPr>
      <w:r>
        <w:rPr>
          <w:b/>
          <w:sz w:val="22"/>
          <w:szCs w:val="22"/>
        </w:rPr>
        <w:t>Pembahasan</w:t>
      </w:r>
    </w:p>
    <w:p w:rsidR="008101AE" w:rsidRDefault="004C5AA8">
      <w:pPr>
        <w:numPr>
          <w:ilvl w:val="0"/>
          <w:numId w:val="3"/>
        </w:numPr>
        <w:jc w:val="both"/>
        <w:rPr>
          <w:sz w:val="22"/>
          <w:szCs w:val="22"/>
        </w:rPr>
      </w:pPr>
      <w:r>
        <w:rPr>
          <w:b/>
          <w:sz w:val="22"/>
          <w:szCs w:val="22"/>
        </w:rPr>
        <w:t>Pengaruh Komisaris Independen terhadap Agresivitas Pajak</w:t>
      </w:r>
    </w:p>
    <w:p w:rsidR="008101AE" w:rsidRDefault="004C5AA8">
      <w:pPr>
        <w:jc w:val="both"/>
        <w:rPr>
          <w:color w:val="000000"/>
          <w:sz w:val="22"/>
          <w:szCs w:val="22"/>
        </w:rPr>
      </w:pPr>
      <w:r>
        <w:rPr>
          <w:color w:val="000000"/>
          <w:sz w:val="22"/>
          <w:szCs w:val="22"/>
        </w:rPr>
        <w:t xml:space="preserve">Berdasarkan hasil pengujian hipotesis dapat dilihat bahwa nilai signifikan variabel komisaris independen sebesar </w:t>
      </w:r>
      <w:r>
        <w:rPr>
          <w:sz w:val="22"/>
          <w:szCs w:val="22"/>
        </w:rPr>
        <w:t xml:space="preserve">0,032 </w:t>
      </w:r>
      <w:r>
        <w:rPr>
          <w:color w:val="000000"/>
          <w:sz w:val="22"/>
          <w:szCs w:val="22"/>
        </w:rPr>
        <w:t xml:space="preserve">lebih kecil dari 0,05 sehingga hipotesis yang diajukan diterima, yang berarti bahwa komisaris independen  berpengaruh terhadap agresivitas pajak. </w:t>
      </w:r>
      <w:proofErr w:type="gramStart"/>
      <w:r>
        <w:rPr>
          <w:color w:val="000000"/>
          <w:sz w:val="22"/>
          <w:szCs w:val="22"/>
        </w:rPr>
        <w:t xml:space="preserve">Hasil penelitian ini konsisten dengan penelitian yang dilakukan oleh Imam </w:t>
      </w:r>
      <w:r>
        <w:rPr>
          <w:sz w:val="22"/>
          <w:szCs w:val="22"/>
        </w:rPr>
        <w:t>(2016)</w:t>
      </w:r>
      <w:r>
        <w:rPr>
          <w:color w:val="000000"/>
          <w:sz w:val="22"/>
          <w:szCs w:val="22"/>
        </w:rPr>
        <w:t xml:space="preserve"> yang menyatakan bahwa komisaris independen berpengaruh terhadap agresivitas pajak.</w:t>
      </w:r>
      <w:proofErr w:type="gramEnd"/>
      <w:r>
        <w:rPr>
          <w:color w:val="000000"/>
          <w:sz w:val="22"/>
          <w:szCs w:val="22"/>
        </w:rPr>
        <w:t xml:space="preserve"> </w:t>
      </w:r>
      <w:proofErr w:type="gramStart"/>
      <w:r>
        <w:rPr>
          <w:color w:val="000000"/>
          <w:sz w:val="22"/>
          <w:szCs w:val="22"/>
        </w:rPr>
        <w:t>Kehadiran komisaris independen dalam perusahaan dapat melakukan pengawasan yang ketat terhadap manajemen sehingga dapat meminimalisir perilaku disfungsional yang dapat terjadi seperti penghindaranpajak.</w:t>
      </w:r>
      <w:proofErr w:type="gramEnd"/>
      <w:r>
        <w:rPr>
          <w:color w:val="000000"/>
          <w:sz w:val="22"/>
          <w:szCs w:val="22"/>
        </w:rPr>
        <w:t xml:space="preserve"> </w:t>
      </w:r>
      <w:proofErr w:type="gramStart"/>
      <w:r>
        <w:rPr>
          <w:color w:val="000000"/>
          <w:sz w:val="22"/>
          <w:szCs w:val="22"/>
        </w:rPr>
        <w:t>Jumlah komisaris independen yang semakin banyak pada perusahaan maka pengaruh komisaris independen untuk melakukan pengawasan terhadap kinerja manajemen semakin meningkat.</w:t>
      </w:r>
      <w:proofErr w:type="gramEnd"/>
      <w:r>
        <w:rPr>
          <w:color w:val="000000"/>
          <w:sz w:val="22"/>
          <w:szCs w:val="22"/>
        </w:rPr>
        <w:t xml:space="preserve"> </w:t>
      </w:r>
      <w:proofErr w:type="gramStart"/>
      <w:r>
        <w:rPr>
          <w:color w:val="000000"/>
          <w:sz w:val="22"/>
          <w:szCs w:val="22"/>
        </w:rPr>
        <w:t>Komisaris independen dapat mengawasi manajemen perusahaan agar dapat mematuhi peraturan perundang-undangan yang berlaku sehingga dapat meminimalisir perilaku penghindaran pajak yang dapat terjadi.</w:t>
      </w:r>
      <w:proofErr w:type="gramEnd"/>
      <w:r>
        <w:rPr>
          <w:color w:val="000000"/>
          <w:sz w:val="22"/>
          <w:szCs w:val="22"/>
        </w:rPr>
        <w:t xml:space="preserve"> Pengawasan yang semakin ketat dilakukan komisaris independen dapat membuat manajemen lebih berhati-hati dalam mengambil keputusan, sehingga dapat mengurangi terjadi penghindaran pajak</w:t>
      </w:r>
    </w:p>
    <w:p w:rsidR="008101AE" w:rsidRDefault="004C5AA8">
      <w:pPr>
        <w:numPr>
          <w:ilvl w:val="0"/>
          <w:numId w:val="3"/>
        </w:numPr>
        <w:jc w:val="both"/>
        <w:rPr>
          <w:sz w:val="22"/>
          <w:szCs w:val="22"/>
        </w:rPr>
      </w:pPr>
      <w:r>
        <w:rPr>
          <w:b/>
          <w:sz w:val="22"/>
          <w:szCs w:val="22"/>
        </w:rPr>
        <w:t>Pengaruh Komite Audit terhadap Agresivitas Pajak</w:t>
      </w:r>
    </w:p>
    <w:p w:rsidR="008101AE" w:rsidRDefault="004C5AA8">
      <w:pPr>
        <w:jc w:val="both"/>
        <w:rPr>
          <w:sz w:val="22"/>
          <w:szCs w:val="22"/>
        </w:rPr>
      </w:pPr>
      <w:r>
        <w:rPr>
          <w:sz w:val="22"/>
          <w:szCs w:val="22"/>
        </w:rPr>
        <w:t>Berdasarkan hasil pengujian hipotesis dapat dilihat bahwa nilai signifikansi variabel nilai pasar ekuitas sebesar 0,070 lebih besar dari 0</w:t>
      </w:r>
      <w:proofErr w:type="gramStart"/>
      <w:r>
        <w:rPr>
          <w:sz w:val="22"/>
          <w:szCs w:val="22"/>
        </w:rPr>
        <w:t>,05</w:t>
      </w:r>
      <w:proofErr w:type="gramEnd"/>
      <w:r>
        <w:rPr>
          <w:sz w:val="22"/>
          <w:szCs w:val="22"/>
        </w:rPr>
        <w:t xml:space="preserve"> sehingga hipotesis yang diajukan ditolak, yang berarti bahwa komite audit tidak berpengaruh terhadap agresivitas pajak. Hasil penelitian ini konsisten dengan penelitian yang dilakukan oleh </w:t>
      </w:r>
      <w:r>
        <w:rPr>
          <w:color w:val="000000"/>
          <w:sz w:val="22"/>
          <w:szCs w:val="22"/>
        </w:rPr>
        <w:t xml:space="preserve">Rengganis dan Putri (2018) </w:t>
      </w:r>
      <w:r>
        <w:rPr>
          <w:sz w:val="22"/>
          <w:szCs w:val="22"/>
        </w:rPr>
        <w:t xml:space="preserve">yang menyatakan bahwa tidak berpengaruhnya komite audit terhadap tingkat agresivitas pajak perusahaan mungkin karena kecenderungan perusahaan melakukan tindakan agresivitas pajak bukan tergantung dari banyaknya anggota komite audit yang tergabung tetapi lebih kepada bagaimana kualitas serta independensi dari anggota komite audit tersebut untuk menganalisa apakah tindakan penghindaran pajak tersebut dilakukan oleh perusahaan atau tidak. </w:t>
      </w:r>
      <w:proofErr w:type="gramStart"/>
      <w:r>
        <w:rPr>
          <w:sz w:val="22"/>
          <w:szCs w:val="22"/>
        </w:rPr>
        <w:t xml:space="preserve">Selain itu, ada potensi bahwa </w:t>
      </w:r>
      <w:r>
        <w:rPr>
          <w:sz w:val="22"/>
          <w:szCs w:val="22"/>
        </w:rPr>
        <w:lastRenderedPageBreak/>
        <w:t>penambahan anggota komite audit dalam perusahaan hanya dimaksudkan untuk memenuhi kepatuhan atas peraturan yang ada dimana diharuskan sedikitnya terdapat 3 (tiga) orang anggota komite audit dalam suatu perusahaan.</w:t>
      </w:r>
      <w:proofErr w:type="gramEnd"/>
    </w:p>
    <w:p w:rsidR="008101AE" w:rsidRDefault="004C5AA8">
      <w:pPr>
        <w:numPr>
          <w:ilvl w:val="0"/>
          <w:numId w:val="3"/>
        </w:numPr>
        <w:jc w:val="both"/>
        <w:rPr>
          <w:sz w:val="22"/>
          <w:szCs w:val="22"/>
        </w:rPr>
      </w:pPr>
      <w:r>
        <w:rPr>
          <w:b/>
          <w:sz w:val="22"/>
          <w:szCs w:val="22"/>
        </w:rPr>
        <w:t>Pengaruh Kepemilikan Institusional terhadap Agresivitas Pajak</w:t>
      </w:r>
    </w:p>
    <w:p w:rsidR="008101AE" w:rsidRDefault="004C5AA8">
      <w:pPr>
        <w:jc w:val="both"/>
        <w:rPr>
          <w:sz w:val="22"/>
          <w:szCs w:val="22"/>
        </w:rPr>
      </w:pPr>
      <w:r>
        <w:rPr>
          <w:sz w:val="22"/>
          <w:szCs w:val="22"/>
        </w:rPr>
        <w:t>Berdasarkan hasil pengujian dapat dilihat bahwa nilai signifikansi variabel kepemilikan institusional sebesar 0,003 lebih kecil dari 0,05 sehingga hipotesis yang diajukan diterima, yang berarti bahwa kepemilikan institusional berpengaruh terhadap</w:t>
      </w:r>
      <w:r>
        <w:rPr>
          <w:i/>
          <w:sz w:val="22"/>
          <w:szCs w:val="22"/>
        </w:rPr>
        <w:t xml:space="preserve"> </w:t>
      </w:r>
      <w:r>
        <w:rPr>
          <w:sz w:val="22"/>
          <w:szCs w:val="22"/>
        </w:rPr>
        <w:t xml:space="preserve">agresivitas pajak. Hasil penelitian </w:t>
      </w:r>
      <w:proofErr w:type="gramStart"/>
      <w:r>
        <w:rPr>
          <w:sz w:val="22"/>
          <w:szCs w:val="22"/>
        </w:rPr>
        <w:t>ini  konsisten</w:t>
      </w:r>
      <w:proofErr w:type="gramEnd"/>
      <w:r>
        <w:rPr>
          <w:sz w:val="22"/>
          <w:szCs w:val="22"/>
        </w:rPr>
        <w:t xml:space="preserve"> dengan penelitian yang dilakukan oleh Imam (2016), yang menyatakan bahwa kepemilikan institusional berpengaruh terhadap agresivitas pajak. </w:t>
      </w:r>
      <w:proofErr w:type="gramStart"/>
      <w:r>
        <w:rPr>
          <w:sz w:val="22"/>
          <w:szCs w:val="22"/>
        </w:rPr>
        <w:t xml:space="preserve">Kepemilikan institusional adalah ukuran utama dalam </w:t>
      </w:r>
      <w:r>
        <w:rPr>
          <w:i/>
          <w:sz w:val="22"/>
          <w:szCs w:val="22"/>
        </w:rPr>
        <w:t>corporate governance</w:t>
      </w:r>
      <w:r>
        <w:rPr>
          <w:sz w:val="22"/>
          <w:szCs w:val="22"/>
        </w:rPr>
        <w:t xml:space="preserve"> dalam menengahi adanya penghindaran pajak pada perusahaan yang mempengaruhi nilai perusahaan.</w:t>
      </w:r>
      <w:proofErr w:type="gramEnd"/>
      <w:r>
        <w:rPr>
          <w:sz w:val="22"/>
          <w:szCs w:val="22"/>
        </w:rPr>
        <w:t xml:space="preserve"> Dengan adanya kontrol dan tingkat pengawasan yang tinggi dari kepemilikan institusional </w:t>
      </w:r>
      <w:proofErr w:type="gramStart"/>
      <w:r>
        <w:rPr>
          <w:sz w:val="22"/>
          <w:szCs w:val="22"/>
        </w:rPr>
        <w:t>akan</w:t>
      </w:r>
      <w:proofErr w:type="gramEnd"/>
      <w:r>
        <w:rPr>
          <w:sz w:val="22"/>
          <w:szCs w:val="22"/>
        </w:rPr>
        <w:t xml:space="preserve"> memberikan aspek positif pada penghindaran pajak. Adanya kepemilikan institusional di suatu perusahaan </w:t>
      </w:r>
      <w:proofErr w:type="gramStart"/>
      <w:r>
        <w:rPr>
          <w:sz w:val="22"/>
          <w:szCs w:val="22"/>
        </w:rPr>
        <w:t>akan</w:t>
      </w:r>
      <w:proofErr w:type="gramEnd"/>
      <w:r>
        <w:rPr>
          <w:sz w:val="22"/>
          <w:szCs w:val="22"/>
        </w:rPr>
        <w:t xml:space="preserve"> mendorong peningkatan pengawasan yang lebih optimal terhadap kinerja manajemen.</w:t>
      </w:r>
    </w:p>
    <w:p w:rsidR="008101AE" w:rsidRDefault="008101AE">
      <w:pPr>
        <w:jc w:val="both"/>
        <w:rPr>
          <w:sz w:val="22"/>
          <w:szCs w:val="22"/>
        </w:rPr>
      </w:pPr>
    </w:p>
    <w:p w:rsidR="008101AE" w:rsidRDefault="004C5AA8">
      <w:pPr>
        <w:numPr>
          <w:ilvl w:val="0"/>
          <w:numId w:val="3"/>
        </w:numPr>
        <w:jc w:val="both"/>
        <w:rPr>
          <w:sz w:val="22"/>
          <w:szCs w:val="22"/>
        </w:rPr>
      </w:pPr>
      <w:r>
        <w:rPr>
          <w:b/>
          <w:sz w:val="22"/>
          <w:szCs w:val="22"/>
        </w:rPr>
        <w:t xml:space="preserve">Pengaruh Pengungkapan </w:t>
      </w:r>
      <w:r>
        <w:rPr>
          <w:b/>
          <w:i/>
          <w:sz w:val="22"/>
          <w:szCs w:val="22"/>
        </w:rPr>
        <w:t>Corporate Social Responsibility</w:t>
      </w:r>
      <w:r>
        <w:rPr>
          <w:b/>
          <w:sz w:val="22"/>
          <w:szCs w:val="22"/>
        </w:rPr>
        <w:t xml:space="preserve"> terhadap Agresivitas Pajak</w:t>
      </w:r>
    </w:p>
    <w:p w:rsidR="008101AE" w:rsidRDefault="004C5AA8">
      <w:pPr>
        <w:jc w:val="both"/>
        <w:rPr>
          <w:sz w:val="22"/>
          <w:szCs w:val="22"/>
        </w:rPr>
      </w:pPr>
      <w:r>
        <w:rPr>
          <w:sz w:val="22"/>
          <w:szCs w:val="22"/>
        </w:rPr>
        <w:t>Berdasarkan hasil pengujian dapat dilihat bahwa nilai signifikansi variabel kepemilikan institusional sebesar 0,028 lebih kecil dari 0,05 sehingga hipotesis yang diajukan diterima, yang berarti bahwa CSR berpengaruh terhadap</w:t>
      </w:r>
      <w:r>
        <w:rPr>
          <w:i/>
          <w:sz w:val="22"/>
          <w:szCs w:val="22"/>
        </w:rPr>
        <w:t xml:space="preserve"> </w:t>
      </w:r>
      <w:r>
        <w:rPr>
          <w:sz w:val="22"/>
          <w:szCs w:val="22"/>
        </w:rPr>
        <w:t xml:space="preserve">agresivitas pajak. </w:t>
      </w:r>
      <w:proofErr w:type="gramStart"/>
      <w:r>
        <w:rPr>
          <w:sz w:val="22"/>
          <w:szCs w:val="22"/>
        </w:rPr>
        <w:t>Hasil penelitian ini konsisten dengan penelitian yang dilakukan oleh Adrianto dan Fadjar (2017) serta Rengganis dan Putri (2018), yang menyatakan bahwa CSR berpengaruh terhadap agresivitas pajak.</w:t>
      </w:r>
      <w:proofErr w:type="gramEnd"/>
      <w:r>
        <w:rPr>
          <w:sz w:val="22"/>
          <w:szCs w:val="22"/>
        </w:rPr>
        <w:t xml:space="preserve"> Hasil yang diperoleh dalam penelitian ini berarti bila pengungkapan CSR perusahaan tinggi, </w:t>
      </w:r>
      <w:proofErr w:type="gramStart"/>
      <w:r>
        <w:rPr>
          <w:sz w:val="22"/>
          <w:szCs w:val="22"/>
        </w:rPr>
        <w:t>akan</w:t>
      </w:r>
      <w:proofErr w:type="gramEnd"/>
      <w:r>
        <w:rPr>
          <w:sz w:val="22"/>
          <w:szCs w:val="22"/>
        </w:rPr>
        <w:t xml:space="preserve"> diikuti dengan rendahnya tingkat agresivitas pajak perusahaan. </w:t>
      </w:r>
      <w:proofErr w:type="gramStart"/>
      <w:r>
        <w:rPr>
          <w:sz w:val="22"/>
          <w:szCs w:val="22"/>
        </w:rPr>
        <w:t>Setiap kegiatan CSR yang dijalankan oleh perusahaan itu merupakan sebuah kegiatan yang tidak hanya berfokus untuk tujuan ekonomi tetapi lebih menitik beratkan pada bidang sosial dan lingkungan.</w:t>
      </w:r>
      <w:proofErr w:type="gramEnd"/>
      <w:r>
        <w:rPr>
          <w:sz w:val="22"/>
          <w:szCs w:val="22"/>
        </w:rPr>
        <w:t xml:space="preserve"> Bagaimana dampak yang </w:t>
      </w:r>
      <w:proofErr w:type="gramStart"/>
      <w:r>
        <w:rPr>
          <w:sz w:val="22"/>
          <w:szCs w:val="22"/>
        </w:rPr>
        <w:t>akan</w:t>
      </w:r>
      <w:proofErr w:type="gramEnd"/>
      <w:r>
        <w:rPr>
          <w:sz w:val="22"/>
          <w:szCs w:val="22"/>
        </w:rPr>
        <w:t xml:space="preserve"> diterima masyarakat setelah kegiatan sosial tersebut dijalankan, karena perusahaan melaksanakan kegiatan-kegiatan sosial tersebut juga sebagai bentuk tanggung jawabnya pada </w:t>
      </w:r>
      <w:r>
        <w:rPr>
          <w:i/>
          <w:sz w:val="22"/>
          <w:szCs w:val="22"/>
        </w:rPr>
        <w:t>stakeholder</w:t>
      </w:r>
      <w:r>
        <w:rPr>
          <w:sz w:val="22"/>
          <w:szCs w:val="22"/>
        </w:rPr>
        <w:t xml:space="preserve">nya. Perusahaan yang memiliki peringkat rendah untuk pengungkapan CSRnya dianggap kurang memiliki tanggung jawab sosial sehingga dalam menjalankan tanggungjawabnya bidang perpajakan, juga cenderung akan lebih bersikap </w:t>
      </w:r>
      <w:proofErr w:type="gramStart"/>
      <w:r>
        <w:rPr>
          <w:sz w:val="22"/>
          <w:szCs w:val="22"/>
        </w:rPr>
        <w:t>agresif .</w:t>
      </w:r>
      <w:proofErr w:type="gramEnd"/>
      <w:r>
        <w:rPr>
          <w:sz w:val="22"/>
          <w:szCs w:val="22"/>
        </w:rPr>
        <w:t xml:space="preserve"> Sedangkan, perusahaan yang memiliki peringkat tinggi dalam pengungkapan CSRnya dipandang lebih peduli terhadap lingkungan sosial serta tidak sekedar mementingkan hak-hak investor tetapi perhatiannya juga be besar </w:t>
      </w:r>
      <w:proofErr w:type="gramStart"/>
      <w:r>
        <w:rPr>
          <w:sz w:val="22"/>
          <w:szCs w:val="22"/>
        </w:rPr>
        <w:t>akan</w:t>
      </w:r>
      <w:proofErr w:type="gramEnd"/>
      <w:r>
        <w:rPr>
          <w:sz w:val="22"/>
          <w:szCs w:val="22"/>
        </w:rPr>
        <w:t xml:space="preserve"> hak-hak publik, sehingga perusahaan cenderung memiliki kesadaran yang tinggi terhadap kewajiban perpajakannya.</w:t>
      </w:r>
    </w:p>
    <w:p w:rsidR="008101AE" w:rsidRDefault="008101AE">
      <w:pPr>
        <w:jc w:val="both"/>
        <w:rPr>
          <w:sz w:val="22"/>
          <w:szCs w:val="22"/>
        </w:rPr>
      </w:pPr>
    </w:p>
    <w:p w:rsidR="008101AE" w:rsidRDefault="00070F47">
      <w:pPr>
        <w:jc w:val="both"/>
        <w:rPr>
          <w:sz w:val="22"/>
          <w:szCs w:val="22"/>
        </w:rPr>
      </w:pPr>
      <w:r>
        <w:rPr>
          <w:b/>
          <w:sz w:val="22"/>
          <w:szCs w:val="22"/>
        </w:rPr>
        <w:t>SIMPULAN</w:t>
      </w:r>
    </w:p>
    <w:p w:rsidR="008101AE" w:rsidRDefault="004C5AA8" w:rsidP="00070F47">
      <w:pPr>
        <w:pBdr>
          <w:top w:val="nil"/>
          <w:left w:val="nil"/>
          <w:bottom w:val="nil"/>
          <w:right w:val="nil"/>
          <w:between w:val="nil"/>
        </w:pBdr>
        <w:ind w:firstLine="578"/>
        <w:jc w:val="both"/>
        <w:rPr>
          <w:color w:val="000000"/>
          <w:sz w:val="22"/>
          <w:szCs w:val="22"/>
        </w:rPr>
      </w:pPr>
      <w:r>
        <w:rPr>
          <w:color w:val="000000"/>
          <w:sz w:val="22"/>
          <w:szCs w:val="22"/>
        </w:rPr>
        <w:t xml:space="preserve">Berdasarkan hasil pengujian hipotesis dan pembahasan, maka dapat diambil kesmpulan penelitian sebagai </w:t>
      </w:r>
      <w:proofErr w:type="gramStart"/>
      <w:r>
        <w:rPr>
          <w:color w:val="000000"/>
          <w:sz w:val="22"/>
          <w:szCs w:val="22"/>
        </w:rPr>
        <w:t>berikut :</w:t>
      </w:r>
      <w:proofErr w:type="gramEnd"/>
    </w:p>
    <w:p w:rsidR="008101AE" w:rsidRDefault="004C5AA8">
      <w:pPr>
        <w:numPr>
          <w:ilvl w:val="0"/>
          <w:numId w:val="1"/>
        </w:numPr>
        <w:pBdr>
          <w:top w:val="nil"/>
          <w:left w:val="nil"/>
          <w:bottom w:val="nil"/>
          <w:right w:val="nil"/>
          <w:between w:val="nil"/>
        </w:pBdr>
        <w:jc w:val="both"/>
        <w:rPr>
          <w:color w:val="000000"/>
          <w:sz w:val="22"/>
          <w:szCs w:val="22"/>
        </w:rPr>
      </w:pPr>
      <w:r>
        <w:rPr>
          <w:color w:val="000000"/>
          <w:sz w:val="22"/>
          <w:szCs w:val="22"/>
        </w:rPr>
        <w:t>Komisaris independen berpengaruh terhadap agresivitas pajak</w:t>
      </w:r>
      <w:r>
        <w:rPr>
          <w:i/>
          <w:color w:val="000000"/>
          <w:sz w:val="22"/>
          <w:szCs w:val="22"/>
        </w:rPr>
        <w:t>.</w:t>
      </w:r>
      <w:r>
        <w:rPr>
          <w:color w:val="000000"/>
          <w:sz w:val="22"/>
          <w:szCs w:val="22"/>
        </w:rPr>
        <w:t xml:space="preserve"> Hal ini berarti kehadiran komisaris independen dalam perusahaan efektif dalam meningkatkan pengawasan terhadap keputusan dan tindakan manajemen, misalnya dalam mengawasi tindakan agresivitas pajak. </w:t>
      </w:r>
    </w:p>
    <w:p w:rsidR="008101AE" w:rsidRDefault="004C5AA8">
      <w:pPr>
        <w:numPr>
          <w:ilvl w:val="0"/>
          <w:numId w:val="1"/>
        </w:numPr>
        <w:pBdr>
          <w:top w:val="nil"/>
          <w:left w:val="nil"/>
          <w:bottom w:val="nil"/>
          <w:right w:val="nil"/>
          <w:between w:val="nil"/>
        </w:pBdr>
        <w:jc w:val="both"/>
        <w:rPr>
          <w:color w:val="000000"/>
          <w:sz w:val="22"/>
          <w:szCs w:val="22"/>
        </w:rPr>
      </w:pPr>
      <w:r>
        <w:rPr>
          <w:color w:val="000000"/>
          <w:sz w:val="22"/>
          <w:szCs w:val="22"/>
        </w:rPr>
        <w:t>Komite Audit tidak berpengaruh terhadap agresivitas pajak. Hal ini karena kecenderungan perusahaan melakukan tindakan agresivitas pajak bukan tergantung dari banyaknya anggota komite audit yang tergabung tetapi lebih kepada bagaimana kualitas serta independensi dari anggota komite audit tersebut untuk menganalisa apakah tindakan penghindaran pajak tersebut dilakukan oleh perusahaan atau tidak.</w:t>
      </w:r>
    </w:p>
    <w:p w:rsidR="008101AE" w:rsidRDefault="004C5AA8">
      <w:pPr>
        <w:numPr>
          <w:ilvl w:val="0"/>
          <w:numId w:val="1"/>
        </w:numPr>
        <w:pBdr>
          <w:top w:val="nil"/>
          <w:left w:val="nil"/>
          <w:bottom w:val="nil"/>
          <w:right w:val="nil"/>
          <w:between w:val="nil"/>
        </w:pBdr>
        <w:jc w:val="both"/>
        <w:rPr>
          <w:color w:val="000000"/>
          <w:sz w:val="22"/>
          <w:szCs w:val="22"/>
        </w:rPr>
      </w:pPr>
      <w:r>
        <w:rPr>
          <w:color w:val="000000"/>
          <w:sz w:val="22"/>
          <w:szCs w:val="22"/>
        </w:rPr>
        <w:t xml:space="preserve">Kepemilikan Institusional berpengaruh terhadap agresivitas pajak. Hal ini berarti dengan adanya kontrol dan tingkat pengawasan yang tinggi dari kepemilikan institusional </w:t>
      </w:r>
      <w:proofErr w:type="gramStart"/>
      <w:r>
        <w:rPr>
          <w:color w:val="000000"/>
          <w:sz w:val="22"/>
          <w:szCs w:val="22"/>
        </w:rPr>
        <w:t>akan</w:t>
      </w:r>
      <w:proofErr w:type="gramEnd"/>
      <w:r>
        <w:rPr>
          <w:color w:val="000000"/>
          <w:sz w:val="22"/>
          <w:szCs w:val="22"/>
        </w:rPr>
        <w:t xml:space="preserve"> memberikan aspek positif pada penghindaran pajak. Adanya kepemilikan institusional di </w:t>
      </w:r>
      <w:r>
        <w:rPr>
          <w:color w:val="000000"/>
          <w:sz w:val="22"/>
          <w:szCs w:val="22"/>
        </w:rPr>
        <w:lastRenderedPageBreak/>
        <w:t xml:space="preserve">suatu perusahaan </w:t>
      </w:r>
      <w:proofErr w:type="gramStart"/>
      <w:r>
        <w:rPr>
          <w:color w:val="000000"/>
          <w:sz w:val="22"/>
          <w:szCs w:val="22"/>
        </w:rPr>
        <w:t>akan</w:t>
      </w:r>
      <w:proofErr w:type="gramEnd"/>
      <w:r>
        <w:rPr>
          <w:color w:val="000000"/>
          <w:sz w:val="22"/>
          <w:szCs w:val="22"/>
        </w:rPr>
        <w:t xml:space="preserve"> mendorong peningkatan pengawasan yang lebih optimal terhadap kinerja manajemen.</w:t>
      </w:r>
    </w:p>
    <w:p w:rsidR="008101AE" w:rsidRDefault="004C5AA8">
      <w:pPr>
        <w:numPr>
          <w:ilvl w:val="0"/>
          <w:numId w:val="1"/>
        </w:numPr>
        <w:jc w:val="both"/>
        <w:rPr>
          <w:sz w:val="22"/>
          <w:szCs w:val="22"/>
        </w:rPr>
      </w:pPr>
      <w:r>
        <w:rPr>
          <w:i/>
          <w:sz w:val="22"/>
          <w:szCs w:val="22"/>
        </w:rPr>
        <w:t xml:space="preserve">Corporate social </w:t>
      </w:r>
      <w:proofErr w:type="gramStart"/>
      <w:r>
        <w:rPr>
          <w:i/>
          <w:sz w:val="22"/>
          <w:szCs w:val="22"/>
        </w:rPr>
        <w:t>responsibility</w:t>
      </w:r>
      <w:r>
        <w:rPr>
          <w:sz w:val="22"/>
          <w:szCs w:val="22"/>
        </w:rPr>
        <w:t xml:space="preserve">  berpengaruh</w:t>
      </w:r>
      <w:proofErr w:type="gramEnd"/>
      <w:r>
        <w:rPr>
          <w:sz w:val="22"/>
          <w:szCs w:val="22"/>
        </w:rPr>
        <w:t xml:space="preserve"> terhadap agresivitas pajak. Hal ini berarti tindakan agresivitas pajak perusahaan dapat ditekan atau berkurang dengan semakin tingginya aktivitas </w:t>
      </w:r>
      <w:r>
        <w:rPr>
          <w:i/>
          <w:sz w:val="22"/>
          <w:szCs w:val="22"/>
        </w:rPr>
        <w:t>corporate social responsibility</w:t>
      </w:r>
      <w:r>
        <w:rPr>
          <w:sz w:val="22"/>
          <w:szCs w:val="22"/>
        </w:rPr>
        <w:t>. Dimana perusahaan lebih berhati-hati dalam melakukan tindakan yang dapat merusak citra perusahaan semisal tindakan agresivitas pajak yang dapat menghilangkan legitimasi perusahaan yang telah diciptakan melalui aktivitas CSR.</w:t>
      </w:r>
    </w:p>
    <w:p w:rsidR="008101AE" w:rsidRDefault="008101AE">
      <w:pPr>
        <w:pBdr>
          <w:top w:val="nil"/>
          <w:left w:val="nil"/>
          <w:bottom w:val="nil"/>
          <w:right w:val="nil"/>
          <w:between w:val="nil"/>
        </w:pBdr>
        <w:jc w:val="both"/>
        <w:rPr>
          <w:color w:val="000000"/>
          <w:sz w:val="22"/>
          <w:szCs w:val="22"/>
        </w:rPr>
      </w:pPr>
    </w:p>
    <w:p w:rsidR="008101AE" w:rsidRDefault="004C5AA8" w:rsidP="00070F47">
      <w:pPr>
        <w:pBdr>
          <w:top w:val="nil"/>
          <w:left w:val="nil"/>
          <w:bottom w:val="nil"/>
          <w:right w:val="nil"/>
          <w:between w:val="nil"/>
        </w:pBdr>
        <w:jc w:val="both"/>
        <w:rPr>
          <w:color w:val="000000"/>
          <w:sz w:val="22"/>
          <w:szCs w:val="22"/>
        </w:rPr>
      </w:pPr>
      <w:r>
        <w:rPr>
          <w:b/>
          <w:color w:val="000000"/>
          <w:sz w:val="22"/>
          <w:szCs w:val="22"/>
        </w:rPr>
        <w:t>DAFTAR PUSTAKA</w:t>
      </w:r>
    </w:p>
    <w:p w:rsidR="008101AE" w:rsidRDefault="004C5AA8" w:rsidP="00070F47">
      <w:pPr>
        <w:ind w:left="480" w:hanging="480"/>
        <w:jc w:val="both"/>
        <w:rPr>
          <w:sz w:val="22"/>
          <w:szCs w:val="22"/>
        </w:rPr>
      </w:pPr>
      <w:proofErr w:type="gramStart"/>
      <w:r>
        <w:rPr>
          <w:sz w:val="22"/>
          <w:szCs w:val="22"/>
        </w:rPr>
        <w:t>Andhari P. A. S., &amp; Sukartha, I. M. (2017).</w:t>
      </w:r>
      <w:proofErr w:type="gramEnd"/>
      <w:r>
        <w:rPr>
          <w:sz w:val="22"/>
          <w:szCs w:val="22"/>
        </w:rPr>
        <w:t xml:space="preserve"> Pengaruh Pengungkapan </w:t>
      </w:r>
      <w:r>
        <w:rPr>
          <w:i/>
          <w:sz w:val="22"/>
          <w:szCs w:val="22"/>
        </w:rPr>
        <w:t xml:space="preserve">Corporate Social </w:t>
      </w:r>
      <w:proofErr w:type="gramStart"/>
      <w:r>
        <w:rPr>
          <w:i/>
          <w:sz w:val="22"/>
          <w:szCs w:val="22"/>
        </w:rPr>
        <w:t>Responsibility</w:t>
      </w:r>
      <w:r>
        <w:rPr>
          <w:sz w:val="22"/>
          <w:szCs w:val="22"/>
        </w:rPr>
        <w:t xml:space="preserve"> ,</w:t>
      </w:r>
      <w:proofErr w:type="gramEnd"/>
      <w:r>
        <w:rPr>
          <w:sz w:val="22"/>
          <w:szCs w:val="22"/>
        </w:rPr>
        <w:t xml:space="preserve"> Profitabilitas , </w:t>
      </w:r>
      <w:r>
        <w:rPr>
          <w:i/>
          <w:sz w:val="22"/>
          <w:szCs w:val="22"/>
        </w:rPr>
        <w:t>Inventory Intensity</w:t>
      </w:r>
      <w:r>
        <w:rPr>
          <w:sz w:val="22"/>
          <w:szCs w:val="22"/>
        </w:rPr>
        <w:t xml:space="preserve"> , </w:t>
      </w:r>
      <w:r>
        <w:rPr>
          <w:i/>
          <w:sz w:val="22"/>
          <w:szCs w:val="22"/>
        </w:rPr>
        <w:t>Capital Intensity</w:t>
      </w:r>
      <w:r>
        <w:rPr>
          <w:sz w:val="22"/>
          <w:szCs w:val="22"/>
        </w:rPr>
        <w:t xml:space="preserve"> dan </w:t>
      </w:r>
      <w:r>
        <w:rPr>
          <w:i/>
          <w:sz w:val="22"/>
          <w:szCs w:val="22"/>
        </w:rPr>
        <w:t>Leverage</w:t>
      </w:r>
      <w:r>
        <w:rPr>
          <w:sz w:val="22"/>
          <w:szCs w:val="22"/>
        </w:rPr>
        <w:t xml:space="preserve"> Pada Agresivitas Pajak. </w:t>
      </w:r>
      <w:proofErr w:type="gramStart"/>
      <w:r>
        <w:rPr>
          <w:i/>
          <w:sz w:val="22"/>
          <w:szCs w:val="22"/>
        </w:rPr>
        <w:t>E-Jurnal Akuntansi Universitas Udayana</w:t>
      </w:r>
      <w:r>
        <w:rPr>
          <w:sz w:val="22"/>
          <w:szCs w:val="22"/>
        </w:rPr>
        <w:t xml:space="preserve">, </w:t>
      </w:r>
      <w:r>
        <w:rPr>
          <w:i/>
          <w:sz w:val="22"/>
          <w:szCs w:val="22"/>
        </w:rPr>
        <w:t>18</w:t>
      </w:r>
      <w:r>
        <w:rPr>
          <w:sz w:val="22"/>
          <w:szCs w:val="22"/>
        </w:rPr>
        <w:t>(3), 2115–2142.</w:t>
      </w:r>
      <w:proofErr w:type="gramEnd"/>
      <w:r>
        <w:rPr>
          <w:sz w:val="22"/>
          <w:szCs w:val="22"/>
        </w:rPr>
        <w:t xml:space="preserve"> ISSN: 2115-2142</w:t>
      </w:r>
    </w:p>
    <w:p w:rsidR="008101AE" w:rsidRDefault="004C5AA8" w:rsidP="00070F47">
      <w:pPr>
        <w:ind w:left="480" w:hanging="480"/>
        <w:jc w:val="both"/>
        <w:rPr>
          <w:sz w:val="22"/>
          <w:szCs w:val="22"/>
        </w:rPr>
      </w:pPr>
      <w:proofErr w:type="gramStart"/>
      <w:r>
        <w:rPr>
          <w:sz w:val="22"/>
          <w:szCs w:val="22"/>
        </w:rPr>
        <w:t>Andrianto, M. Rizky., &amp; Fadjar, A. (2017).</w:t>
      </w:r>
      <w:proofErr w:type="gramEnd"/>
      <w:r>
        <w:rPr>
          <w:sz w:val="22"/>
          <w:szCs w:val="22"/>
        </w:rPr>
        <w:t xml:space="preserve"> </w:t>
      </w:r>
      <w:proofErr w:type="gramStart"/>
      <w:r>
        <w:rPr>
          <w:sz w:val="22"/>
          <w:szCs w:val="22"/>
        </w:rPr>
        <w:t xml:space="preserve">Pengaruh Pengungkapan </w:t>
      </w:r>
      <w:r>
        <w:rPr>
          <w:i/>
          <w:sz w:val="22"/>
          <w:szCs w:val="22"/>
        </w:rPr>
        <w:t>Corporate Social Responsibility</w:t>
      </w:r>
      <w:r>
        <w:rPr>
          <w:sz w:val="22"/>
          <w:szCs w:val="22"/>
        </w:rPr>
        <w:t xml:space="preserve"> Terhadap Agresivitas Pajak.</w:t>
      </w:r>
      <w:proofErr w:type="gramEnd"/>
      <w:r>
        <w:rPr>
          <w:sz w:val="22"/>
          <w:szCs w:val="22"/>
        </w:rPr>
        <w:t xml:space="preserve"> </w:t>
      </w:r>
      <w:proofErr w:type="gramStart"/>
      <w:r>
        <w:rPr>
          <w:i/>
          <w:sz w:val="22"/>
          <w:szCs w:val="22"/>
        </w:rPr>
        <w:t>Jurnal Profesionalisme Akuntan Menuju Sustainable Business Practice</w:t>
      </w:r>
      <w:r>
        <w:rPr>
          <w:sz w:val="22"/>
          <w:szCs w:val="22"/>
        </w:rPr>
        <w:t>.</w:t>
      </w:r>
      <w:proofErr w:type="gramEnd"/>
      <w:r>
        <w:rPr>
          <w:sz w:val="22"/>
          <w:szCs w:val="22"/>
        </w:rPr>
        <w:t xml:space="preserve"> ISSN: 2252-3936</w:t>
      </w:r>
    </w:p>
    <w:p w:rsidR="008101AE" w:rsidRDefault="004C5AA8" w:rsidP="00070F47">
      <w:pPr>
        <w:tabs>
          <w:tab w:val="left" w:pos="426"/>
        </w:tabs>
        <w:ind w:left="426" w:hanging="426"/>
        <w:jc w:val="both"/>
        <w:rPr>
          <w:sz w:val="22"/>
          <w:szCs w:val="22"/>
        </w:rPr>
      </w:pPr>
      <w:proofErr w:type="gramStart"/>
      <w:r>
        <w:rPr>
          <w:sz w:val="22"/>
          <w:szCs w:val="22"/>
        </w:rPr>
        <w:t>Anita, F. (2015).</w:t>
      </w:r>
      <w:proofErr w:type="gramEnd"/>
      <w:r>
        <w:rPr>
          <w:sz w:val="22"/>
          <w:szCs w:val="22"/>
        </w:rPr>
        <w:t xml:space="preserve"> Pengaruh </w:t>
      </w:r>
      <w:r>
        <w:rPr>
          <w:i/>
          <w:sz w:val="22"/>
          <w:szCs w:val="22"/>
        </w:rPr>
        <w:t>Corporate Social Responsibility</w:t>
      </w:r>
      <w:r>
        <w:rPr>
          <w:sz w:val="22"/>
          <w:szCs w:val="22"/>
        </w:rPr>
        <w:t xml:space="preserve">, </w:t>
      </w:r>
      <w:r>
        <w:rPr>
          <w:i/>
          <w:sz w:val="22"/>
          <w:szCs w:val="22"/>
        </w:rPr>
        <w:t>Laverage</w:t>
      </w:r>
      <w:r>
        <w:rPr>
          <w:sz w:val="22"/>
          <w:szCs w:val="22"/>
        </w:rPr>
        <w:t xml:space="preserve">, Likuiditas, dan Ukuran Perusahaan Terhadap Agresivitas Pajak (Studi Empiris Pada Perusahaan </w:t>
      </w:r>
      <w:r>
        <w:rPr>
          <w:i/>
          <w:sz w:val="22"/>
          <w:szCs w:val="22"/>
        </w:rPr>
        <w:t>Real Estate</w:t>
      </w:r>
      <w:r>
        <w:rPr>
          <w:sz w:val="22"/>
          <w:szCs w:val="22"/>
        </w:rPr>
        <w:t xml:space="preserve"> Dan </w:t>
      </w:r>
      <w:r>
        <w:rPr>
          <w:i/>
          <w:sz w:val="22"/>
          <w:szCs w:val="22"/>
        </w:rPr>
        <w:t>Property</w:t>
      </w:r>
      <w:r>
        <w:rPr>
          <w:sz w:val="22"/>
          <w:szCs w:val="22"/>
        </w:rPr>
        <w:t xml:space="preserve"> Yang Terdaftar Di Bursa Efek Indonesia Tahun 2010-2013). </w:t>
      </w:r>
      <w:r>
        <w:rPr>
          <w:i/>
          <w:sz w:val="22"/>
          <w:szCs w:val="22"/>
        </w:rPr>
        <w:t>Jom Fekon</w:t>
      </w:r>
      <w:r>
        <w:rPr>
          <w:sz w:val="22"/>
          <w:szCs w:val="22"/>
        </w:rPr>
        <w:t xml:space="preserve">, </w:t>
      </w:r>
      <w:r>
        <w:rPr>
          <w:i/>
          <w:sz w:val="22"/>
          <w:szCs w:val="22"/>
        </w:rPr>
        <w:t>2</w:t>
      </w:r>
      <w:r>
        <w:rPr>
          <w:sz w:val="22"/>
          <w:szCs w:val="22"/>
        </w:rPr>
        <w:t>(2), 1–15.</w:t>
      </w:r>
    </w:p>
    <w:p w:rsidR="008101AE" w:rsidRDefault="004C5AA8" w:rsidP="00070F47">
      <w:pPr>
        <w:ind w:left="426" w:hanging="426"/>
        <w:jc w:val="both"/>
        <w:rPr>
          <w:sz w:val="22"/>
          <w:szCs w:val="22"/>
        </w:rPr>
      </w:pPr>
      <w:proofErr w:type="gramStart"/>
      <w:r>
        <w:rPr>
          <w:sz w:val="22"/>
          <w:szCs w:val="22"/>
        </w:rPr>
        <w:t>Balakrishnan, K., Blouin, J. L., &amp; Guay, W. R. (2012).</w:t>
      </w:r>
      <w:proofErr w:type="gramEnd"/>
      <w:r>
        <w:rPr>
          <w:sz w:val="22"/>
          <w:szCs w:val="22"/>
        </w:rPr>
        <w:t xml:space="preserve"> </w:t>
      </w:r>
      <w:r>
        <w:rPr>
          <w:i/>
          <w:sz w:val="22"/>
          <w:szCs w:val="22"/>
        </w:rPr>
        <w:t>Does Tax Aggressiveness Reduce Financial Reporting Transparency</w:t>
      </w:r>
      <w:proofErr w:type="gramStart"/>
      <w:r>
        <w:rPr>
          <w:i/>
          <w:sz w:val="22"/>
          <w:szCs w:val="22"/>
        </w:rPr>
        <w:t>?SSRN</w:t>
      </w:r>
      <w:proofErr w:type="gramEnd"/>
      <w:r>
        <w:rPr>
          <w:i/>
          <w:sz w:val="22"/>
          <w:szCs w:val="22"/>
        </w:rPr>
        <w:t xml:space="preserve"> Electronic Journal</w:t>
      </w:r>
      <w:r>
        <w:rPr>
          <w:sz w:val="22"/>
          <w:szCs w:val="22"/>
        </w:rPr>
        <w:t>, (215). https://doi.org/10.2139/ssrn.1792783</w:t>
      </w:r>
    </w:p>
    <w:p w:rsidR="008101AE" w:rsidRDefault="004C5AA8" w:rsidP="00070F47">
      <w:pPr>
        <w:ind w:left="426" w:hanging="426"/>
        <w:jc w:val="both"/>
        <w:rPr>
          <w:sz w:val="22"/>
          <w:szCs w:val="22"/>
        </w:rPr>
      </w:pPr>
      <w:r>
        <w:rPr>
          <w:sz w:val="22"/>
          <w:szCs w:val="22"/>
        </w:rPr>
        <w:t xml:space="preserve">Diantari, </w:t>
      </w:r>
      <w:proofErr w:type="gramStart"/>
      <w:r>
        <w:rPr>
          <w:sz w:val="22"/>
          <w:szCs w:val="22"/>
        </w:rPr>
        <w:t>Rista.P.,</w:t>
      </w:r>
      <w:proofErr w:type="gramEnd"/>
      <w:r>
        <w:rPr>
          <w:sz w:val="22"/>
          <w:szCs w:val="22"/>
        </w:rPr>
        <w:t xml:space="preserve"> &amp;Ulupui. </w:t>
      </w:r>
      <w:proofErr w:type="gramStart"/>
      <w:r>
        <w:rPr>
          <w:sz w:val="22"/>
          <w:szCs w:val="22"/>
        </w:rPr>
        <w:t xml:space="preserve">(2016). Pengaruh Komite Audit, Proporsi Komisaris Independen, dan Proporsi Kepemilikan Institusional Terhadap </w:t>
      </w:r>
      <w:r>
        <w:rPr>
          <w:i/>
          <w:sz w:val="22"/>
          <w:szCs w:val="22"/>
        </w:rPr>
        <w:t>Tax Avoidance</w:t>
      </w:r>
      <w:r>
        <w:rPr>
          <w:sz w:val="22"/>
          <w:szCs w:val="22"/>
        </w:rPr>
        <w:t>.</w:t>
      </w:r>
      <w:proofErr w:type="gramEnd"/>
      <w:r>
        <w:rPr>
          <w:sz w:val="22"/>
          <w:szCs w:val="22"/>
        </w:rPr>
        <w:t xml:space="preserve"> </w:t>
      </w:r>
      <w:r>
        <w:rPr>
          <w:i/>
          <w:sz w:val="22"/>
          <w:szCs w:val="22"/>
        </w:rPr>
        <w:t>E-Jurnal Akuntansi Universitas Udayana</w:t>
      </w:r>
      <w:r>
        <w:rPr>
          <w:sz w:val="22"/>
          <w:szCs w:val="22"/>
        </w:rPr>
        <w:t xml:space="preserve">, </w:t>
      </w:r>
      <w:r>
        <w:rPr>
          <w:i/>
          <w:sz w:val="22"/>
          <w:szCs w:val="22"/>
        </w:rPr>
        <w:t>16</w:t>
      </w:r>
      <w:r>
        <w:rPr>
          <w:sz w:val="22"/>
          <w:szCs w:val="22"/>
        </w:rPr>
        <w:t>(1), 702–732.ISSN: 2302-8556</w:t>
      </w:r>
    </w:p>
    <w:p w:rsidR="008101AE" w:rsidRDefault="004C5AA8" w:rsidP="00070F47">
      <w:pPr>
        <w:ind w:left="426" w:hanging="426"/>
        <w:jc w:val="both"/>
        <w:rPr>
          <w:sz w:val="22"/>
          <w:szCs w:val="22"/>
        </w:rPr>
      </w:pPr>
      <w:r>
        <w:rPr>
          <w:sz w:val="22"/>
          <w:szCs w:val="22"/>
        </w:rPr>
        <w:t xml:space="preserve">Fadli, Imam. </w:t>
      </w:r>
      <w:proofErr w:type="gramStart"/>
      <w:r>
        <w:rPr>
          <w:sz w:val="22"/>
          <w:szCs w:val="22"/>
        </w:rPr>
        <w:t xml:space="preserve">(2016). Pengaruh Likuiditas, </w:t>
      </w:r>
      <w:r>
        <w:rPr>
          <w:i/>
          <w:sz w:val="22"/>
          <w:szCs w:val="22"/>
        </w:rPr>
        <w:t>Leverage</w:t>
      </w:r>
      <w:r>
        <w:rPr>
          <w:sz w:val="22"/>
          <w:szCs w:val="22"/>
        </w:rPr>
        <w:t>, Komisaris Inpenden, Manajemen Laba, dan Kepemilikan Institusional Terhadap Agresivitas Pajak Perusahaan.</w:t>
      </w:r>
      <w:proofErr w:type="gramEnd"/>
      <w:r>
        <w:rPr>
          <w:sz w:val="22"/>
          <w:szCs w:val="22"/>
        </w:rPr>
        <w:t xml:space="preserve"> </w:t>
      </w:r>
      <w:r>
        <w:rPr>
          <w:i/>
          <w:sz w:val="22"/>
          <w:szCs w:val="22"/>
        </w:rPr>
        <w:t>JOM Fekon</w:t>
      </w:r>
      <w:r>
        <w:rPr>
          <w:sz w:val="22"/>
          <w:szCs w:val="22"/>
        </w:rPr>
        <w:t xml:space="preserve">, </w:t>
      </w:r>
      <w:r>
        <w:rPr>
          <w:i/>
          <w:sz w:val="22"/>
          <w:szCs w:val="22"/>
        </w:rPr>
        <w:t>03</w:t>
      </w:r>
      <w:r>
        <w:rPr>
          <w:sz w:val="22"/>
          <w:szCs w:val="22"/>
        </w:rPr>
        <w:t>(01), 1205–1219.</w:t>
      </w:r>
    </w:p>
    <w:p w:rsidR="008101AE" w:rsidRDefault="004C5AA8" w:rsidP="00070F47">
      <w:pPr>
        <w:ind w:left="426" w:hanging="426"/>
        <w:jc w:val="both"/>
        <w:rPr>
          <w:sz w:val="22"/>
          <w:szCs w:val="22"/>
        </w:rPr>
      </w:pPr>
      <w:proofErr w:type="gramStart"/>
      <w:r>
        <w:rPr>
          <w:sz w:val="22"/>
          <w:szCs w:val="22"/>
        </w:rPr>
        <w:t>Fionasari, D., Savitri, E., &amp; Andreas, A. (2018).</w:t>
      </w:r>
      <w:proofErr w:type="gramEnd"/>
      <w:r>
        <w:rPr>
          <w:sz w:val="22"/>
          <w:szCs w:val="22"/>
        </w:rPr>
        <w:t xml:space="preserve"> </w:t>
      </w:r>
      <w:proofErr w:type="gramStart"/>
      <w:r>
        <w:rPr>
          <w:sz w:val="22"/>
          <w:szCs w:val="22"/>
        </w:rPr>
        <w:t xml:space="preserve">Pengaruh Pengungkapan </w:t>
      </w:r>
      <w:r>
        <w:rPr>
          <w:i/>
          <w:sz w:val="22"/>
          <w:szCs w:val="22"/>
        </w:rPr>
        <w:t>Corporate Social Responsibility</w:t>
      </w:r>
      <w:r>
        <w:rPr>
          <w:sz w:val="22"/>
          <w:szCs w:val="22"/>
        </w:rPr>
        <w:t xml:space="preserve"> terhadap Agresivitas Pajak (Studi pada Perusahaan yang Listing di Bursa Efek Indonesia).</w:t>
      </w:r>
      <w:proofErr w:type="gramEnd"/>
      <w:r>
        <w:rPr>
          <w:sz w:val="22"/>
          <w:szCs w:val="22"/>
        </w:rPr>
        <w:t xml:space="preserve"> </w:t>
      </w:r>
      <w:proofErr w:type="gramStart"/>
      <w:r>
        <w:rPr>
          <w:i/>
          <w:sz w:val="22"/>
          <w:szCs w:val="22"/>
        </w:rPr>
        <w:t>Sorot</w:t>
      </w:r>
      <w:r>
        <w:rPr>
          <w:sz w:val="22"/>
          <w:szCs w:val="22"/>
        </w:rPr>
        <w:t xml:space="preserve">, </w:t>
      </w:r>
      <w:r>
        <w:rPr>
          <w:i/>
          <w:sz w:val="22"/>
          <w:szCs w:val="22"/>
        </w:rPr>
        <w:t>12</w:t>
      </w:r>
      <w:r>
        <w:rPr>
          <w:sz w:val="22"/>
          <w:szCs w:val="22"/>
        </w:rPr>
        <w:t>(2), 95.ISSN 1907-364X https://doi.org/10.31258/sorot.12.2.4557.</w:t>
      </w:r>
      <w:proofErr w:type="gramEnd"/>
    </w:p>
    <w:p w:rsidR="008101AE" w:rsidRDefault="004C5AA8" w:rsidP="00070F47">
      <w:pPr>
        <w:ind w:left="426" w:hanging="426"/>
        <w:jc w:val="both"/>
        <w:rPr>
          <w:sz w:val="22"/>
          <w:szCs w:val="22"/>
        </w:rPr>
      </w:pPr>
      <w:proofErr w:type="gramStart"/>
      <w:r>
        <w:rPr>
          <w:sz w:val="22"/>
          <w:szCs w:val="22"/>
        </w:rPr>
        <w:t>Freedman, J. (2008).</w:t>
      </w:r>
      <w:proofErr w:type="gramEnd"/>
      <w:r>
        <w:rPr>
          <w:sz w:val="22"/>
          <w:szCs w:val="22"/>
        </w:rPr>
        <w:t xml:space="preserve"> Financial and Tax Accounting: Transparency and “Truth.” </w:t>
      </w:r>
      <w:r>
        <w:rPr>
          <w:i/>
          <w:sz w:val="22"/>
          <w:szCs w:val="22"/>
        </w:rPr>
        <w:t>Tax and Corporate Governance</w:t>
      </w:r>
      <w:r>
        <w:rPr>
          <w:sz w:val="22"/>
          <w:szCs w:val="22"/>
        </w:rPr>
        <w:t>, 71–92. https://doi.org/10.1007/978-3-540-77276-7_6.</w:t>
      </w:r>
    </w:p>
    <w:p w:rsidR="008101AE" w:rsidRDefault="004C5AA8" w:rsidP="00070F47">
      <w:pPr>
        <w:ind w:left="480" w:hanging="480"/>
        <w:jc w:val="both"/>
        <w:rPr>
          <w:sz w:val="22"/>
          <w:szCs w:val="22"/>
        </w:rPr>
      </w:pPr>
      <w:r>
        <w:rPr>
          <w:sz w:val="22"/>
          <w:szCs w:val="22"/>
        </w:rPr>
        <w:t>Ghozali, Imam. (2018).</w:t>
      </w:r>
      <w:r>
        <w:rPr>
          <w:i/>
          <w:sz w:val="22"/>
          <w:szCs w:val="22"/>
        </w:rPr>
        <w:t>Aplikasi Analisis Multivariate dengan Program IBM SPSS 25</w:t>
      </w:r>
      <w:r>
        <w:rPr>
          <w:sz w:val="22"/>
          <w:szCs w:val="22"/>
        </w:rPr>
        <w:t>Semarang: Badan Penerbit Universitas Diponegoro.</w:t>
      </w:r>
    </w:p>
    <w:p w:rsidR="008101AE" w:rsidRDefault="004C5AA8" w:rsidP="00070F47">
      <w:pPr>
        <w:ind w:left="480" w:hanging="480"/>
        <w:jc w:val="both"/>
        <w:rPr>
          <w:sz w:val="22"/>
          <w:szCs w:val="22"/>
        </w:rPr>
      </w:pPr>
      <w:r>
        <w:rPr>
          <w:sz w:val="22"/>
          <w:szCs w:val="22"/>
        </w:rPr>
        <w:t xml:space="preserve">Gunawan, J. (2017). </w:t>
      </w:r>
      <w:proofErr w:type="gramStart"/>
      <w:r>
        <w:rPr>
          <w:sz w:val="22"/>
          <w:szCs w:val="22"/>
        </w:rPr>
        <w:t xml:space="preserve">Pengaruh </w:t>
      </w:r>
      <w:r>
        <w:rPr>
          <w:i/>
          <w:sz w:val="22"/>
          <w:szCs w:val="22"/>
        </w:rPr>
        <w:t>Corporate Social Responsibility</w:t>
      </w:r>
      <w:r>
        <w:rPr>
          <w:sz w:val="22"/>
          <w:szCs w:val="22"/>
        </w:rPr>
        <w:t xml:space="preserve"> Dan </w:t>
      </w:r>
      <w:r>
        <w:rPr>
          <w:i/>
          <w:sz w:val="22"/>
          <w:szCs w:val="22"/>
        </w:rPr>
        <w:t>Corporate Governance</w:t>
      </w:r>
      <w:r>
        <w:rPr>
          <w:sz w:val="22"/>
          <w:szCs w:val="22"/>
        </w:rPr>
        <w:t xml:space="preserve"> Terhadap Agresivitas Pajak.</w:t>
      </w:r>
      <w:proofErr w:type="gramEnd"/>
      <w:r>
        <w:rPr>
          <w:sz w:val="22"/>
          <w:szCs w:val="22"/>
        </w:rPr>
        <w:t xml:space="preserve"> </w:t>
      </w:r>
      <w:r>
        <w:rPr>
          <w:i/>
          <w:sz w:val="22"/>
          <w:szCs w:val="22"/>
        </w:rPr>
        <w:t>Jurnal Akuntansi</w:t>
      </w:r>
      <w:r>
        <w:rPr>
          <w:sz w:val="22"/>
          <w:szCs w:val="22"/>
        </w:rPr>
        <w:t xml:space="preserve">, </w:t>
      </w:r>
      <w:r>
        <w:rPr>
          <w:i/>
          <w:sz w:val="22"/>
          <w:szCs w:val="22"/>
        </w:rPr>
        <w:t>21</w:t>
      </w:r>
      <w:r>
        <w:rPr>
          <w:sz w:val="22"/>
          <w:szCs w:val="22"/>
        </w:rPr>
        <w:t>(3), 425. https://doi.org/10.24912/ja.v21i3.246.</w:t>
      </w:r>
    </w:p>
    <w:p w:rsidR="008101AE" w:rsidRDefault="004C5AA8" w:rsidP="00070F47">
      <w:pPr>
        <w:ind w:left="480" w:hanging="480"/>
        <w:jc w:val="both"/>
        <w:rPr>
          <w:sz w:val="22"/>
          <w:szCs w:val="22"/>
        </w:rPr>
      </w:pPr>
      <w:proofErr w:type="gramStart"/>
      <w:r>
        <w:rPr>
          <w:sz w:val="22"/>
          <w:szCs w:val="22"/>
        </w:rPr>
        <w:t>Jessica &amp; Agus Arianto.</w:t>
      </w:r>
      <w:proofErr w:type="gramEnd"/>
      <w:r>
        <w:rPr>
          <w:sz w:val="22"/>
          <w:szCs w:val="22"/>
        </w:rPr>
        <w:t xml:space="preserve"> </w:t>
      </w:r>
      <w:proofErr w:type="gramStart"/>
      <w:r>
        <w:rPr>
          <w:sz w:val="22"/>
          <w:szCs w:val="22"/>
        </w:rPr>
        <w:t>T. (2015).</w:t>
      </w:r>
      <w:proofErr w:type="gramEnd"/>
      <w:r>
        <w:rPr>
          <w:sz w:val="22"/>
          <w:szCs w:val="22"/>
        </w:rPr>
        <w:t xml:space="preserve"> </w:t>
      </w:r>
      <w:proofErr w:type="gramStart"/>
      <w:r>
        <w:rPr>
          <w:sz w:val="22"/>
          <w:szCs w:val="22"/>
        </w:rPr>
        <w:t xml:space="preserve">Pengaruh Pengungkapan </w:t>
      </w:r>
      <w:r>
        <w:rPr>
          <w:i/>
          <w:sz w:val="22"/>
          <w:szCs w:val="22"/>
        </w:rPr>
        <w:t>Corporate Social Responsibilty</w:t>
      </w:r>
      <w:r>
        <w:rPr>
          <w:sz w:val="22"/>
          <w:szCs w:val="22"/>
        </w:rPr>
        <w:t xml:space="preserve"> Terhadap Agresivitas Pajak.</w:t>
      </w:r>
      <w:proofErr w:type="gramEnd"/>
      <w:r>
        <w:rPr>
          <w:sz w:val="22"/>
          <w:szCs w:val="22"/>
        </w:rPr>
        <w:t xml:space="preserve"> </w:t>
      </w:r>
      <w:proofErr w:type="gramStart"/>
      <w:r>
        <w:rPr>
          <w:i/>
          <w:sz w:val="22"/>
          <w:szCs w:val="22"/>
        </w:rPr>
        <w:t>Tax &amp; Accounting Review</w:t>
      </w:r>
      <w:r>
        <w:rPr>
          <w:sz w:val="22"/>
          <w:szCs w:val="22"/>
        </w:rPr>
        <w:t xml:space="preserve">, </w:t>
      </w:r>
      <w:r>
        <w:rPr>
          <w:i/>
          <w:sz w:val="22"/>
          <w:szCs w:val="22"/>
        </w:rPr>
        <w:t>4</w:t>
      </w:r>
      <w:r>
        <w:rPr>
          <w:sz w:val="22"/>
          <w:szCs w:val="22"/>
        </w:rPr>
        <w:t>(1).</w:t>
      </w:r>
      <w:proofErr w:type="gramEnd"/>
      <w:r>
        <w:rPr>
          <w:sz w:val="22"/>
          <w:szCs w:val="22"/>
        </w:rPr>
        <w:t xml:space="preserve"> https://doi.org/10.1007/978-81-322-1518-9_8.</w:t>
      </w:r>
    </w:p>
    <w:p w:rsidR="008101AE" w:rsidRDefault="004C5AA8" w:rsidP="00070F47">
      <w:pPr>
        <w:ind w:left="480" w:hanging="480"/>
        <w:rPr>
          <w:sz w:val="22"/>
          <w:szCs w:val="22"/>
        </w:rPr>
      </w:pPr>
      <w:r>
        <w:rPr>
          <w:sz w:val="22"/>
          <w:szCs w:val="22"/>
        </w:rPr>
        <w:t xml:space="preserve">Jiménez-angueira, C. E. (2008). </w:t>
      </w:r>
      <w:proofErr w:type="gramStart"/>
      <w:r>
        <w:rPr>
          <w:i/>
          <w:sz w:val="22"/>
          <w:szCs w:val="22"/>
        </w:rPr>
        <w:t>Tax Aggressiveness, Tax Environment Changes, and Corporate Governance</w:t>
      </w:r>
      <w:r>
        <w:rPr>
          <w:sz w:val="22"/>
          <w:szCs w:val="22"/>
        </w:rPr>
        <w:t>.</w:t>
      </w:r>
      <w:proofErr w:type="gramEnd"/>
      <w:r>
        <w:rPr>
          <w:sz w:val="22"/>
          <w:szCs w:val="22"/>
        </w:rPr>
        <w:t xml:space="preserve"> 1–114.University </w:t>
      </w:r>
      <w:proofErr w:type="gramStart"/>
      <w:r>
        <w:rPr>
          <w:sz w:val="22"/>
          <w:szCs w:val="22"/>
        </w:rPr>
        <w:t>Of</w:t>
      </w:r>
      <w:proofErr w:type="gramEnd"/>
      <w:r>
        <w:rPr>
          <w:sz w:val="22"/>
          <w:szCs w:val="22"/>
        </w:rPr>
        <w:t xml:space="preserve"> Florida.</w:t>
      </w:r>
    </w:p>
    <w:p w:rsidR="008101AE" w:rsidRDefault="004C5AA8" w:rsidP="00070F47">
      <w:pPr>
        <w:pBdr>
          <w:top w:val="nil"/>
          <w:left w:val="nil"/>
          <w:bottom w:val="nil"/>
          <w:right w:val="nil"/>
          <w:between w:val="nil"/>
        </w:pBdr>
        <w:ind w:left="284" w:hanging="284"/>
        <w:jc w:val="both"/>
        <w:rPr>
          <w:color w:val="000000"/>
          <w:sz w:val="22"/>
          <w:szCs w:val="22"/>
        </w:rPr>
      </w:pPr>
      <w:proofErr w:type="gramStart"/>
      <w:r>
        <w:rPr>
          <w:color w:val="000000"/>
          <w:sz w:val="22"/>
          <w:szCs w:val="22"/>
        </w:rPr>
        <w:t>Kementerian Keuangan Republik Indonesia.</w:t>
      </w:r>
      <w:proofErr w:type="gramEnd"/>
      <w:r>
        <w:rPr>
          <w:color w:val="000000"/>
          <w:sz w:val="22"/>
          <w:szCs w:val="22"/>
        </w:rPr>
        <w:t xml:space="preserve"> </w:t>
      </w:r>
      <w:proofErr w:type="gramStart"/>
      <w:r>
        <w:rPr>
          <w:color w:val="000000"/>
          <w:sz w:val="22"/>
          <w:szCs w:val="22"/>
        </w:rPr>
        <w:t>2016. Pemerintah Soroti Rendahnya Kepatuhan Wajib Pajak Minerba dan Migas.</w:t>
      </w:r>
      <w:proofErr w:type="gramEnd"/>
      <w:r>
        <w:rPr>
          <w:color w:val="000000"/>
          <w:sz w:val="22"/>
          <w:szCs w:val="22"/>
        </w:rPr>
        <w:t xml:space="preserve"> https://www.kemenkeu.go.id/publikasi/berita/pemerintah-soroti-rendahnya-kepatuhan-wajib-pajak-minerba-dan-migas/ </w:t>
      </w:r>
    </w:p>
    <w:p w:rsidR="008101AE" w:rsidRDefault="004C5AA8" w:rsidP="00070F47">
      <w:pPr>
        <w:pBdr>
          <w:top w:val="nil"/>
          <w:left w:val="nil"/>
          <w:bottom w:val="nil"/>
          <w:right w:val="nil"/>
          <w:between w:val="nil"/>
        </w:pBdr>
        <w:ind w:left="480" w:hanging="480"/>
        <w:jc w:val="both"/>
        <w:rPr>
          <w:color w:val="000000"/>
          <w:sz w:val="22"/>
          <w:szCs w:val="22"/>
        </w:rPr>
      </w:pPr>
      <w:r>
        <w:rPr>
          <w:color w:val="000000"/>
          <w:sz w:val="22"/>
          <w:szCs w:val="22"/>
        </w:rPr>
        <w:lastRenderedPageBreak/>
        <w:t xml:space="preserve">Lanis, R. &amp; G. Richardson. (2012). </w:t>
      </w:r>
      <w:proofErr w:type="gramStart"/>
      <w:r>
        <w:rPr>
          <w:i/>
          <w:color w:val="000000"/>
          <w:sz w:val="22"/>
          <w:szCs w:val="22"/>
        </w:rPr>
        <w:t>Corporate</w:t>
      </w:r>
      <w:proofErr w:type="gramEnd"/>
      <w:r>
        <w:rPr>
          <w:i/>
          <w:color w:val="000000"/>
          <w:sz w:val="22"/>
          <w:szCs w:val="22"/>
        </w:rPr>
        <w:t xml:space="preserve"> social responsibility and tax aggressiveness : a test of legitimacy theory. </w:t>
      </w:r>
      <w:hyperlink r:id="rId13">
        <w:r>
          <w:rPr>
            <w:color w:val="0563C1"/>
            <w:sz w:val="22"/>
            <w:szCs w:val="22"/>
            <w:u w:val="single"/>
          </w:rPr>
          <w:t>http://doi.org/10.1108/09513571311285621</w:t>
        </w:r>
      </w:hyperlink>
      <w:r>
        <w:rPr>
          <w:color w:val="0563C1"/>
          <w:sz w:val="22"/>
          <w:szCs w:val="22"/>
          <w:u w:val="single"/>
        </w:rPr>
        <w:t>.</w:t>
      </w:r>
    </w:p>
    <w:p w:rsidR="008101AE" w:rsidRDefault="004C5AA8" w:rsidP="00070F47">
      <w:pPr>
        <w:ind w:left="480" w:hanging="480"/>
        <w:jc w:val="both"/>
        <w:rPr>
          <w:sz w:val="22"/>
          <w:szCs w:val="22"/>
        </w:rPr>
      </w:pPr>
      <w:proofErr w:type="gramStart"/>
      <w:r>
        <w:rPr>
          <w:sz w:val="22"/>
          <w:szCs w:val="22"/>
        </w:rPr>
        <w:t>Maraya, A. D., &amp; Yendrawati, R. (2017).</w:t>
      </w:r>
      <w:proofErr w:type="gramEnd"/>
      <w:r>
        <w:rPr>
          <w:sz w:val="22"/>
          <w:szCs w:val="22"/>
        </w:rPr>
        <w:t xml:space="preserve"> Pengaruh </w:t>
      </w:r>
      <w:r>
        <w:rPr>
          <w:i/>
          <w:sz w:val="22"/>
          <w:szCs w:val="22"/>
        </w:rPr>
        <w:t>Corporate Governance</w:t>
      </w:r>
      <w:r>
        <w:rPr>
          <w:sz w:val="22"/>
          <w:szCs w:val="22"/>
        </w:rPr>
        <w:t xml:space="preserve"> dan </w:t>
      </w:r>
      <w:r>
        <w:rPr>
          <w:i/>
          <w:sz w:val="22"/>
          <w:szCs w:val="22"/>
        </w:rPr>
        <w:t>Corporate Social Responsibility Disclosure</w:t>
      </w:r>
      <w:r>
        <w:rPr>
          <w:sz w:val="22"/>
          <w:szCs w:val="22"/>
        </w:rPr>
        <w:t xml:space="preserve"> terhadap </w:t>
      </w:r>
      <w:r>
        <w:rPr>
          <w:i/>
          <w:sz w:val="22"/>
          <w:szCs w:val="22"/>
        </w:rPr>
        <w:t>tax avoidance</w:t>
      </w:r>
      <w:r>
        <w:rPr>
          <w:sz w:val="22"/>
          <w:szCs w:val="22"/>
        </w:rPr>
        <w:t xml:space="preserve">: studi empiris pada perusahaan tambang dan CPO. </w:t>
      </w:r>
      <w:proofErr w:type="gramStart"/>
      <w:r>
        <w:rPr>
          <w:i/>
          <w:sz w:val="22"/>
          <w:szCs w:val="22"/>
        </w:rPr>
        <w:t>Jurnal Akuntansi &amp; Auditing Indonesia</w:t>
      </w:r>
      <w:r>
        <w:rPr>
          <w:sz w:val="22"/>
          <w:szCs w:val="22"/>
        </w:rPr>
        <w:t xml:space="preserve">, </w:t>
      </w:r>
      <w:r>
        <w:rPr>
          <w:i/>
          <w:sz w:val="22"/>
          <w:szCs w:val="22"/>
        </w:rPr>
        <w:t>20</w:t>
      </w:r>
      <w:r>
        <w:rPr>
          <w:sz w:val="22"/>
          <w:szCs w:val="22"/>
        </w:rPr>
        <w:t>(2), 147–159.</w:t>
      </w:r>
      <w:proofErr w:type="gramEnd"/>
      <w:r>
        <w:rPr>
          <w:sz w:val="22"/>
          <w:szCs w:val="22"/>
        </w:rPr>
        <w:t xml:space="preserve"> https://doi.org/10.20885/jaai.vol20.iss2.art7.</w:t>
      </w:r>
    </w:p>
    <w:p w:rsidR="008101AE" w:rsidRDefault="004C5AA8" w:rsidP="00070F47">
      <w:pPr>
        <w:ind w:left="480" w:hanging="480"/>
        <w:jc w:val="both"/>
        <w:rPr>
          <w:sz w:val="22"/>
          <w:szCs w:val="22"/>
        </w:rPr>
      </w:pPr>
      <w:r>
        <w:rPr>
          <w:sz w:val="22"/>
          <w:szCs w:val="22"/>
        </w:rPr>
        <w:t>Maria, R. R., Dwi, Y., &amp; Putri, Asri Dwija.P</w:t>
      </w:r>
      <w:proofErr w:type="gramStart"/>
      <w:r>
        <w:rPr>
          <w:sz w:val="22"/>
          <w:szCs w:val="22"/>
        </w:rPr>
        <w:t>.(</w:t>
      </w:r>
      <w:proofErr w:type="gramEnd"/>
      <w:r>
        <w:rPr>
          <w:sz w:val="22"/>
          <w:szCs w:val="22"/>
        </w:rPr>
        <w:t xml:space="preserve">2018). </w:t>
      </w:r>
      <w:proofErr w:type="gramStart"/>
      <w:r>
        <w:rPr>
          <w:sz w:val="22"/>
          <w:szCs w:val="22"/>
        </w:rPr>
        <w:t>Pengaruh</w:t>
      </w:r>
      <w:r>
        <w:rPr>
          <w:i/>
          <w:sz w:val="22"/>
          <w:szCs w:val="22"/>
        </w:rPr>
        <w:t xml:space="preserve"> Corporate Governance </w:t>
      </w:r>
      <w:r>
        <w:rPr>
          <w:sz w:val="22"/>
          <w:szCs w:val="22"/>
        </w:rPr>
        <w:t>dan Pengungkapan</w:t>
      </w:r>
      <w:r>
        <w:rPr>
          <w:i/>
          <w:sz w:val="22"/>
          <w:szCs w:val="22"/>
        </w:rPr>
        <w:t xml:space="preserve"> Corporate Social Responsibility </w:t>
      </w:r>
      <w:r>
        <w:rPr>
          <w:sz w:val="22"/>
          <w:szCs w:val="22"/>
        </w:rPr>
        <w:t>Terhadap Agresivitas Pajak.</w:t>
      </w:r>
      <w:r>
        <w:rPr>
          <w:i/>
          <w:sz w:val="22"/>
          <w:szCs w:val="22"/>
        </w:rPr>
        <w:t>24</w:t>
      </w:r>
      <w:r>
        <w:rPr>
          <w:sz w:val="22"/>
          <w:szCs w:val="22"/>
        </w:rPr>
        <w:t>, 871–898.</w:t>
      </w:r>
      <w:proofErr w:type="gramEnd"/>
      <w:r>
        <w:rPr>
          <w:sz w:val="22"/>
          <w:szCs w:val="22"/>
        </w:rPr>
        <w:t xml:space="preserve"> ISSN: 2302-8556.</w:t>
      </w:r>
    </w:p>
    <w:p w:rsidR="008101AE" w:rsidRDefault="004C5AA8" w:rsidP="00070F47">
      <w:pPr>
        <w:ind w:left="480" w:hanging="480"/>
        <w:jc w:val="both"/>
        <w:rPr>
          <w:sz w:val="22"/>
          <w:szCs w:val="22"/>
        </w:rPr>
      </w:pPr>
      <w:r>
        <w:rPr>
          <w:sz w:val="22"/>
          <w:szCs w:val="22"/>
        </w:rPr>
        <w:t xml:space="preserve">Mulyani Sri, </w:t>
      </w:r>
      <w:proofErr w:type="gramStart"/>
      <w:r>
        <w:rPr>
          <w:sz w:val="22"/>
          <w:szCs w:val="22"/>
        </w:rPr>
        <w:t>Anita.W.,</w:t>
      </w:r>
      <w:proofErr w:type="gramEnd"/>
      <w:r>
        <w:rPr>
          <w:sz w:val="22"/>
          <w:szCs w:val="22"/>
        </w:rPr>
        <w:t xml:space="preserve"> Endang. </w:t>
      </w:r>
      <w:proofErr w:type="gramStart"/>
      <w:r>
        <w:rPr>
          <w:sz w:val="22"/>
          <w:szCs w:val="22"/>
        </w:rPr>
        <w:t>M. (2018).</w:t>
      </w:r>
      <w:proofErr w:type="gramEnd"/>
      <w:r>
        <w:rPr>
          <w:sz w:val="22"/>
          <w:szCs w:val="22"/>
        </w:rPr>
        <w:t xml:space="preserve"> Pengaruh </w:t>
      </w:r>
      <w:r>
        <w:rPr>
          <w:i/>
          <w:sz w:val="22"/>
          <w:szCs w:val="22"/>
        </w:rPr>
        <w:t>Corporate Governance</w:t>
      </w:r>
      <w:r>
        <w:rPr>
          <w:sz w:val="22"/>
          <w:szCs w:val="22"/>
        </w:rPr>
        <w:t xml:space="preserve"> Terhadap </w:t>
      </w:r>
      <w:r>
        <w:rPr>
          <w:i/>
          <w:sz w:val="22"/>
          <w:szCs w:val="22"/>
        </w:rPr>
        <w:t>Tax Avoidance</w:t>
      </w:r>
      <w:r>
        <w:rPr>
          <w:sz w:val="22"/>
          <w:szCs w:val="22"/>
        </w:rPr>
        <w:t xml:space="preserve"> </w:t>
      </w:r>
      <w:proofErr w:type="gramStart"/>
      <w:r>
        <w:rPr>
          <w:sz w:val="22"/>
          <w:szCs w:val="22"/>
        </w:rPr>
        <w:t>( Perusahaan</w:t>
      </w:r>
      <w:proofErr w:type="gramEnd"/>
      <w:r>
        <w:rPr>
          <w:sz w:val="22"/>
          <w:szCs w:val="22"/>
        </w:rPr>
        <w:t xml:space="preserve"> Pertambangan yang terdaftar di BEI ), </w:t>
      </w:r>
      <w:r>
        <w:rPr>
          <w:i/>
          <w:sz w:val="22"/>
          <w:szCs w:val="22"/>
        </w:rPr>
        <w:t>3</w:t>
      </w:r>
      <w:r>
        <w:rPr>
          <w:sz w:val="22"/>
          <w:szCs w:val="22"/>
        </w:rPr>
        <w:t>(1), 322–340.ISSN 2548-1401.</w:t>
      </w:r>
    </w:p>
    <w:p w:rsidR="008101AE" w:rsidRDefault="004C5AA8" w:rsidP="00070F47">
      <w:pPr>
        <w:pBdr>
          <w:top w:val="nil"/>
          <w:left w:val="nil"/>
          <w:bottom w:val="nil"/>
          <w:right w:val="nil"/>
          <w:between w:val="nil"/>
        </w:pBdr>
        <w:ind w:left="480" w:hanging="480"/>
        <w:jc w:val="both"/>
        <w:rPr>
          <w:color w:val="000000"/>
          <w:sz w:val="22"/>
          <w:szCs w:val="22"/>
        </w:rPr>
      </w:pPr>
      <w:proofErr w:type="gramStart"/>
      <w:r>
        <w:rPr>
          <w:color w:val="000000"/>
          <w:sz w:val="22"/>
          <w:szCs w:val="22"/>
        </w:rPr>
        <w:t>Novitasari, S. (2017).</w:t>
      </w:r>
      <w:proofErr w:type="gramEnd"/>
      <w:r>
        <w:rPr>
          <w:color w:val="000000"/>
          <w:sz w:val="22"/>
          <w:szCs w:val="22"/>
        </w:rPr>
        <w:t xml:space="preserve"> </w:t>
      </w:r>
      <w:proofErr w:type="gramStart"/>
      <w:r>
        <w:rPr>
          <w:color w:val="000000"/>
          <w:sz w:val="22"/>
          <w:szCs w:val="22"/>
        </w:rPr>
        <w:t xml:space="preserve">Pengaruh Manajemen Laba, </w:t>
      </w:r>
      <w:r>
        <w:rPr>
          <w:i/>
          <w:color w:val="000000"/>
          <w:sz w:val="22"/>
          <w:szCs w:val="22"/>
        </w:rPr>
        <w:t>Corporate Governance</w:t>
      </w:r>
      <w:r>
        <w:rPr>
          <w:color w:val="000000"/>
          <w:sz w:val="22"/>
          <w:szCs w:val="22"/>
        </w:rPr>
        <w:t>, dan Intensitas Modal Terhadap Agresivitas Pajak Perusahaan.</w:t>
      </w:r>
      <w:proofErr w:type="gramEnd"/>
      <w:r>
        <w:rPr>
          <w:color w:val="000000"/>
          <w:sz w:val="22"/>
          <w:szCs w:val="22"/>
        </w:rPr>
        <w:t xml:space="preserve"> </w:t>
      </w:r>
      <w:r>
        <w:rPr>
          <w:i/>
          <w:color w:val="000000"/>
          <w:sz w:val="22"/>
          <w:szCs w:val="22"/>
        </w:rPr>
        <w:t>Jurnal Online Mahasiswa Fakultas EkonomiM Fekon</w:t>
      </w:r>
      <w:r>
        <w:rPr>
          <w:color w:val="000000"/>
          <w:sz w:val="22"/>
          <w:szCs w:val="22"/>
        </w:rPr>
        <w:t xml:space="preserve">, </w:t>
      </w:r>
      <w:r>
        <w:rPr>
          <w:i/>
          <w:color w:val="000000"/>
          <w:sz w:val="22"/>
          <w:szCs w:val="22"/>
        </w:rPr>
        <w:t>4</w:t>
      </w:r>
      <w:r>
        <w:rPr>
          <w:color w:val="000000"/>
          <w:sz w:val="22"/>
          <w:szCs w:val="22"/>
        </w:rPr>
        <w:t>(1), 1901–1914.</w:t>
      </w:r>
    </w:p>
    <w:p w:rsidR="008101AE" w:rsidRDefault="004C5AA8" w:rsidP="00070F47">
      <w:pPr>
        <w:pBdr>
          <w:top w:val="nil"/>
          <w:left w:val="nil"/>
          <w:bottom w:val="nil"/>
          <w:right w:val="nil"/>
          <w:between w:val="nil"/>
        </w:pBdr>
        <w:ind w:left="480" w:hanging="480"/>
        <w:jc w:val="both"/>
        <w:rPr>
          <w:color w:val="000000"/>
          <w:sz w:val="22"/>
          <w:szCs w:val="22"/>
        </w:rPr>
      </w:pPr>
      <w:r>
        <w:rPr>
          <w:color w:val="000000"/>
          <w:sz w:val="22"/>
          <w:szCs w:val="22"/>
        </w:rPr>
        <w:t xml:space="preserve">Reza, </w:t>
      </w:r>
      <w:proofErr w:type="gramStart"/>
      <w:r>
        <w:rPr>
          <w:color w:val="000000"/>
          <w:sz w:val="22"/>
          <w:szCs w:val="22"/>
        </w:rPr>
        <w:t>Ahmad.D.P.,</w:t>
      </w:r>
      <w:proofErr w:type="gramEnd"/>
      <w:r>
        <w:rPr>
          <w:color w:val="000000"/>
          <w:sz w:val="22"/>
          <w:szCs w:val="22"/>
        </w:rPr>
        <w:t xml:space="preserve"> dan Zulaikha. (2015). Pengaruh </w:t>
      </w:r>
      <w:r>
        <w:rPr>
          <w:i/>
          <w:color w:val="000000"/>
          <w:sz w:val="22"/>
          <w:szCs w:val="22"/>
        </w:rPr>
        <w:t>Corporate Governance</w:t>
      </w:r>
      <w:r>
        <w:rPr>
          <w:color w:val="000000"/>
          <w:sz w:val="22"/>
          <w:szCs w:val="22"/>
        </w:rPr>
        <w:t xml:space="preserve"> Terhadap Penghindaran Pajak </w:t>
      </w:r>
      <w:proofErr w:type="gramStart"/>
      <w:r>
        <w:rPr>
          <w:color w:val="000000"/>
          <w:sz w:val="22"/>
          <w:szCs w:val="22"/>
        </w:rPr>
        <w:t>( Studi</w:t>
      </w:r>
      <w:proofErr w:type="gramEnd"/>
      <w:r>
        <w:rPr>
          <w:color w:val="000000"/>
          <w:sz w:val="22"/>
          <w:szCs w:val="22"/>
        </w:rPr>
        <w:t xml:space="preserve"> Empiris pada Perusahaan Manufaktur yang Terdaftar di Bursa Efek Indonesia 2011-2014 ), </w:t>
      </w:r>
      <w:r>
        <w:rPr>
          <w:i/>
          <w:color w:val="000000"/>
          <w:sz w:val="22"/>
          <w:szCs w:val="22"/>
        </w:rPr>
        <w:t>4</w:t>
      </w:r>
      <w:r>
        <w:rPr>
          <w:color w:val="000000"/>
          <w:sz w:val="22"/>
          <w:szCs w:val="22"/>
        </w:rPr>
        <w:t>, 1–11.ISSN (Online): 2337-3806.</w:t>
      </w:r>
    </w:p>
    <w:p w:rsidR="008101AE" w:rsidRDefault="004C5AA8" w:rsidP="00070F47">
      <w:pPr>
        <w:ind w:left="480" w:hanging="480"/>
        <w:jc w:val="both"/>
        <w:rPr>
          <w:sz w:val="22"/>
          <w:szCs w:val="22"/>
        </w:rPr>
      </w:pPr>
      <w:proofErr w:type="gramStart"/>
      <w:r>
        <w:rPr>
          <w:sz w:val="22"/>
          <w:szCs w:val="22"/>
        </w:rPr>
        <w:t>Sari, Dea.</w:t>
      </w:r>
      <w:proofErr w:type="gramEnd"/>
      <w:r>
        <w:rPr>
          <w:sz w:val="22"/>
          <w:szCs w:val="22"/>
        </w:rPr>
        <w:t xml:space="preserve"> </w:t>
      </w:r>
      <w:proofErr w:type="gramStart"/>
      <w:r>
        <w:rPr>
          <w:sz w:val="22"/>
          <w:szCs w:val="22"/>
        </w:rPr>
        <w:t>L. (2017).</w:t>
      </w:r>
      <w:proofErr w:type="gramEnd"/>
      <w:r>
        <w:rPr>
          <w:sz w:val="22"/>
          <w:szCs w:val="22"/>
        </w:rPr>
        <w:t xml:space="preserve"> Pengaruh </w:t>
      </w:r>
      <w:r>
        <w:rPr>
          <w:i/>
          <w:sz w:val="22"/>
          <w:szCs w:val="22"/>
        </w:rPr>
        <w:t>Corporate Social Responsibility</w:t>
      </w:r>
      <w:r>
        <w:rPr>
          <w:sz w:val="22"/>
          <w:szCs w:val="22"/>
        </w:rPr>
        <w:t xml:space="preserve">, Kepemilikan Mayoritas dan </w:t>
      </w:r>
      <w:r>
        <w:rPr>
          <w:i/>
          <w:sz w:val="22"/>
          <w:szCs w:val="22"/>
        </w:rPr>
        <w:t>Corporate Governance</w:t>
      </w:r>
      <w:r>
        <w:rPr>
          <w:sz w:val="22"/>
          <w:szCs w:val="22"/>
        </w:rPr>
        <w:t xml:space="preserve"> terhadap Agresivitas Pajak. </w:t>
      </w:r>
      <w:r>
        <w:rPr>
          <w:i/>
          <w:sz w:val="22"/>
          <w:szCs w:val="22"/>
        </w:rPr>
        <w:t>Jurnal Online Mahasiswa Fakultas Ekonomi</w:t>
      </w:r>
      <w:r>
        <w:rPr>
          <w:sz w:val="22"/>
          <w:szCs w:val="22"/>
        </w:rPr>
        <w:t xml:space="preserve">, </w:t>
      </w:r>
      <w:r>
        <w:rPr>
          <w:i/>
          <w:sz w:val="22"/>
          <w:szCs w:val="22"/>
        </w:rPr>
        <w:t>4</w:t>
      </w:r>
      <w:r>
        <w:rPr>
          <w:sz w:val="22"/>
          <w:szCs w:val="22"/>
        </w:rPr>
        <w:t>(1), 1813–1827.</w:t>
      </w:r>
    </w:p>
    <w:p w:rsidR="008101AE" w:rsidRDefault="004C5AA8" w:rsidP="00070F47">
      <w:pPr>
        <w:ind w:left="480" w:hanging="480"/>
        <w:jc w:val="both"/>
        <w:rPr>
          <w:sz w:val="22"/>
          <w:szCs w:val="22"/>
        </w:rPr>
      </w:pPr>
      <w:proofErr w:type="gramStart"/>
      <w:r>
        <w:rPr>
          <w:sz w:val="22"/>
          <w:szCs w:val="22"/>
        </w:rPr>
        <w:t>Seprini.</w:t>
      </w:r>
      <w:proofErr w:type="gramEnd"/>
      <w:r>
        <w:rPr>
          <w:sz w:val="22"/>
          <w:szCs w:val="22"/>
        </w:rPr>
        <w:t xml:space="preserve"> </w:t>
      </w:r>
      <w:proofErr w:type="gramStart"/>
      <w:r>
        <w:rPr>
          <w:sz w:val="22"/>
          <w:szCs w:val="22"/>
        </w:rPr>
        <w:t xml:space="preserve">(2016). Pengaruh </w:t>
      </w:r>
      <w:r>
        <w:rPr>
          <w:i/>
          <w:sz w:val="22"/>
          <w:szCs w:val="22"/>
        </w:rPr>
        <w:t>Good Corporate Governance</w:t>
      </w:r>
      <w:r>
        <w:rPr>
          <w:sz w:val="22"/>
          <w:szCs w:val="22"/>
        </w:rPr>
        <w:t xml:space="preserve"> dan </w:t>
      </w:r>
      <w:r>
        <w:rPr>
          <w:i/>
          <w:sz w:val="22"/>
          <w:szCs w:val="22"/>
        </w:rPr>
        <w:t>Corporate Sosial Responsibility</w:t>
      </w:r>
      <w:r>
        <w:rPr>
          <w:sz w:val="22"/>
          <w:szCs w:val="22"/>
        </w:rPr>
        <w:t xml:space="preserve"> Tindakan Pajak Agresif (Studi pada Perusahaan Pertambangan yang Terdaftar di BEI 2011-2013).</w:t>
      </w:r>
      <w:proofErr w:type="gramEnd"/>
      <w:r>
        <w:rPr>
          <w:sz w:val="22"/>
          <w:szCs w:val="22"/>
        </w:rPr>
        <w:t xml:space="preserve"> </w:t>
      </w:r>
      <w:proofErr w:type="gramStart"/>
      <w:r>
        <w:rPr>
          <w:i/>
          <w:sz w:val="22"/>
          <w:szCs w:val="22"/>
        </w:rPr>
        <w:t>JOM Fekon</w:t>
      </w:r>
      <w:r>
        <w:rPr>
          <w:sz w:val="22"/>
          <w:szCs w:val="22"/>
        </w:rPr>
        <w:t xml:space="preserve">, </w:t>
      </w:r>
      <w:r>
        <w:rPr>
          <w:i/>
          <w:sz w:val="22"/>
          <w:szCs w:val="22"/>
        </w:rPr>
        <w:t>3</w:t>
      </w:r>
      <w:r>
        <w:rPr>
          <w:sz w:val="22"/>
          <w:szCs w:val="22"/>
        </w:rPr>
        <w:t>(1), 2238–2252.</w:t>
      </w:r>
      <w:proofErr w:type="gramEnd"/>
    </w:p>
    <w:p w:rsidR="008101AE" w:rsidRDefault="004C5AA8" w:rsidP="00070F47">
      <w:pPr>
        <w:pBdr>
          <w:top w:val="nil"/>
          <w:left w:val="nil"/>
          <w:bottom w:val="nil"/>
          <w:right w:val="nil"/>
          <w:between w:val="nil"/>
        </w:pBdr>
        <w:ind w:left="480" w:hanging="480"/>
        <w:jc w:val="both"/>
        <w:rPr>
          <w:color w:val="000000"/>
          <w:sz w:val="22"/>
          <w:szCs w:val="22"/>
        </w:rPr>
      </w:pPr>
      <w:proofErr w:type="gramStart"/>
      <w:r>
        <w:rPr>
          <w:color w:val="000000"/>
          <w:sz w:val="22"/>
          <w:szCs w:val="22"/>
        </w:rPr>
        <w:t>Simorangkir, Y. N. L., Subroto, B., &amp; Andayani, W. (2019).</w:t>
      </w:r>
      <w:proofErr w:type="gramEnd"/>
      <w:r>
        <w:rPr>
          <w:color w:val="000000"/>
          <w:sz w:val="22"/>
          <w:szCs w:val="22"/>
        </w:rPr>
        <w:t xml:space="preserve"> </w:t>
      </w:r>
      <w:proofErr w:type="gramStart"/>
      <w:r>
        <w:rPr>
          <w:color w:val="000000"/>
          <w:sz w:val="22"/>
          <w:szCs w:val="22"/>
        </w:rPr>
        <w:t xml:space="preserve">Pengaruh </w:t>
      </w:r>
      <w:r>
        <w:rPr>
          <w:i/>
          <w:color w:val="000000"/>
          <w:sz w:val="22"/>
          <w:szCs w:val="22"/>
        </w:rPr>
        <w:t>Corporate Social Responsibility</w:t>
      </w:r>
      <w:r>
        <w:rPr>
          <w:color w:val="000000"/>
          <w:sz w:val="22"/>
          <w:szCs w:val="22"/>
        </w:rPr>
        <w:t xml:space="preserve"> dan Komisaris Independen terhadap Agresivitas Pajak.</w:t>
      </w:r>
      <w:proofErr w:type="gramEnd"/>
      <w:r>
        <w:rPr>
          <w:color w:val="000000"/>
          <w:sz w:val="22"/>
          <w:szCs w:val="22"/>
        </w:rPr>
        <w:t xml:space="preserve"> </w:t>
      </w:r>
      <w:r>
        <w:rPr>
          <w:i/>
          <w:color w:val="000000"/>
          <w:sz w:val="22"/>
          <w:szCs w:val="22"/>
        </w:rPr>
        <w:t>Jurnal Manajemen Dan Kewirausahaan</w:t>
      </w:r>
      <w:r>
        <w:rPr>
          <w:color w:val="000000"/>
          <w:sz w:val="22"/>
          <w:szCs w:val="22"/>
        </w:rPr>
        <w:t xml:space="preserve">, </w:t>
      </w:r>
      <w:r>
        <w:rPr>
          <w:i/>
          <w:color w:val="000000"/>
          <w:sz w:val="22"/>
          <w:szCs w:val="22"/>
        </w:rPr>
        <w:t>6</w:t>
      </w:r>
      <w:r>
        <w:rPr>
          <w:color w:val="000000"/>
          <w:sz w:val="22"/>
          <w:szCs w:val="22"/>
        </w:rPr>
        <w:t>(2). http://doi.org/10.26905/jmdk.v6i2.2277.</w:t>
      </w:r>
    </w:p>
    <w:p w:rsidR="008101AE" w:rsidRDefault="004C5AA8" w:rsidP="00070F47">
      <w:pPr>
        <w:pBdr>
          <w:top w:val="nil"/>
          <w:left w:val="nil"/>
          <w:bottom w:val="nil"/>
          <w:right w:val="nil"/>
          <w:between w:val="nil"/>
        </w:pBdr>
        <w:ind w:left="480" w:hanging="480"/>
        <w:jc w:val="both"/>
        <w:rPr>
          <w:color w:val="000000"/>
          <w:sz w:val="22"/>
          <w:szCs w:val="22"/>
        </w:rPr>
      </w:pPr>
      <w:proofErr w:type="gramStart"/>
      <w:r>
        <w:rPr>
          <w:color w:val="000000"/>
          <w:sz w:val="22"/>
          <w:szCs w:val="22"/>
        </w:rPr>
        <w:t>Sugiyono.</w:t>
      </w:r>
      <w:proofErr w:type="gramEnd"/>
      <w:r>
        <w:rPr>
          <w:color w:val="000000"/>
          <w:sz w:val="22"/>
          <w:szCs w:val="22"/>
        </w:rPr>
        <w:t xml:space="preserve"> </w:t>
      </w:r>
      <w:proofErr w:type="gramStart"/>
      <w:r>
        <w:rPr>
          <w:color w:val="000000"/>
          <w:sz w:val="22"/>
          <w:szCs w:val="22"/>
        </w:rPr>
        <w:t>(2014).</w:t>
      </w:r>
      <w:r>
        <w:rPr>
          <w:i/>
          <w:color w:val="000000"/>
          <w:sz w:val="22"/>
          <w:szCs w:val="22"/>
        </w:rPr>
        <w:t>Metode Penelitian Kuantitatif, Kualitatif, dan Kombinasi (Mixed Methods) Bisnis.</w:t>
      </w:r>
      <w:proofErr w:type="gramEnd"/>
      <w:r>
        <w:rPr>
          <w:i/>
          <w:color w:val="000000"/>
          <w:sz w:val="22"/>
          <w:szCs w:val="22"/>
        </w:rPr>
        <w:t xml:space="preserve"> </w:t>
      </w:r>
      <w:proofErr w:type="gramStart"/>
      <w:r>
        <w:rPr>
          <w:i/>
          <w:color w:val="000000"/>
          <w:sz w:val="22"/>
          <w:szCs w:val="22"/>
        </w:rPr>
        <w:t xml:space="preserve">Bandung </w:t>
      </w:r>
      <w:r>
        <w:rPr>
          <w:color w:val="000000"/>
          <w:sz w:val="22"/>
          <w:szCs w:val="22"/>
        </w:rPr>
        <w:t>:</w:t>
      </w:r>
      <w:proofErr w:type="gramEnd"/>
      <w:r>
        <w:rPr>
          <w:color w:val="000000"/>
          <w:sz w:val="22"/>
          <w:szCs w:val="22"/>
        </w:rPr>
        <w:t xml:space="preserve"> Alfabeta.</w:t>
      </w:r>
    </w:p>
    <w:p w:rsidR="008101AE" w:rsidRDefault="004C5AA8" w:rsidP="00070F47">
      <w:pPr>
        <w:ind w:left="480" w:hanging="480"/>
        <w:rPr>
          <w:sz w:val="22"/>
          <w:szCs w:val="22"/>
        </w:rPr>
      </w:pPr>
      <w:proofErr w:type="gramStart"/>
      <w:r>
        <w:rPr>
          <w:sz w:val="22"/>
          <w:szCs w:val="22"/>
        </w:rPr>
        <w:t>Suprasto, N. P. D., &amp; Suprimarini, B. (2017).</w:t>
      </w:r>
      <w:proofErr w:type="gramEnd"/>
      <w:r>
        <w:rPr>
          <w:sz w:val="22"/>
          <w:szCs w:val="22"/>
        </w:rPr>
        <w:t xml:space="preserve"> Pengaruh Corporate Social Responsibility, Kualitas Audit, Dan Kepemilikan Institusional Pada Agresivitas Pajak. </w:t>
      </w:r>
      <w:r>
        <w:rPr>
          <w:i/>
          <w:sz w:val="22"/>
          <w:szCs w:val="22"/>
        </w:rPr>
        <w:t>E-Jurnal Akuntansi Universitas Udayana</w:t>
      </w:r>
      <w:r>
        <w:rPr>
          <w:sz w:val="22"/>
          <w:szCs w:val="22"/>
        </w:rPr>
        <w:t xml:space="preserve">, </w:t>
      </w:r>
      <w:r>
        <w:rPr>
          <w:i/>
          <w:sz w:val="22"/>
          <w:szCs w:val="22"/>
        </w:rPr>
        <w:t>19</w:t>
      </w:r>
      <w:r>
        <w:rPr>
          <w:sz w:val="22"/>
          <w:szCs w:val="22"/>
        </w:rPr>
        <w:t>, 1349–1377. ISSN: 2302-8556</w:t>
      </w:r>
    </w:p>
    <w:p w:rsidR="008101AE" w:rsidRDefault="004C5AA8" w:rsidP="00070F47">
      <w:pPr>
        <w:ind w:left="480" w:hanging="480"/>
        <w:jc w:val="both"/>
        <w:rPr>
          <w:sz w:val="22"/>
          <w:szCs w:val="22"/>
        </w:rPr>
      </w:pPr>
      <w:proofErr w:type="gramStart"/>
      <w:r>
        <w:rPr>
          <w:sz w:val="22"/>
          <w:szCs w:val="22"/>
        </w:rPr>
        <w:t>W, D. I., Djumena, S., &amp; Yuniarwati.</w:t>
      </w:r>
      <w:proofErr w:type="gramEnd"/>
      <w:r>
        <w:rPr>
          <w:sz w:val="22"/>
          <w:szCs w:val="22"/>
        </w:rPr>
        <w:t xml:space="preserve"> </w:t>
      </w:r>
      <w:proofErr w:type="gramStart"/>
      <w:r>
        <w:rPr>
          <w:sz w:val="22"/>
          <w:szCs w:val="22"/>
        </w:rPr>
        <w:t>(2015). Faktor-Faktor Yang Mempengaruhi Aresivitas Pajak Pada Perusahaan Manufaktur yang Terdaftar di BEI 2013 – 2015.</w:t>
      </w:r>
      <w:proofErr w:type="gramEnd"/>
      <w:r>
        <w:rPr>
          <w:sz w:val="22"/>
          <w:szCs w:val="22"/>
        </w:rPr>
        <w:t xml:space="preserve"> </w:t>
      </w:r>
      <w:r>
        <w:rPr>
          <w:i/>
          <w:sz w:val="22"/>
          <w:szCs w:val="22"/>
        </w:rPr>
        <w:t>Jurnal Muara Ilmu Ekonomi Dan Bisnis</w:t>
      </w:r>
      <w:r>
        <w:rPr>
          <w:sz w:val="22"/>
          <w:szCs w:val="22"/>
        </w:rPr>
        <w:t xml:space="preserve">, </w:t>
      </w:r>
      <w:r>
        <w:rPr>
          <w:i/>
          <w:sz w:val="22"/>
          <w:szCs w:val="22"/>
        </w:rPr>
        <w:t>1</w:t>
      </w:r>
      <w:r>
        <w:rPr>
          <w:sz w:val="22"/>
          <w:szCs w:val="22"/>
        </w:rPr>
        <w:t>(1), 125–134.ISSN-L 2579-6232.</w:t>
      </w:r>
    </w:p>
    <w:p w:rsidR="008101AE" w:rsidRDefault="004C5AA8" w:rsidP="00070F47">
      <w:pPr>
        <w:ind w:left="480" w:hanging="480"/>
        <w:rPr>
          <w:sz w:val="22"/>
          <w:szCs w:val="22"/>
        </w:rPr>
      </w:pPr>
      <w:r>
        <w:rPr>
          <w:sz w:val="22"/>
          <w:szCs w:val="22"/>
        </w:rPr>
        <w:t xml:space="preserve">Wibawa Agung, Wilopo, Abdilah. </w:t>
      </w:r>
      <w:proofErr w:type="gramStart"/>
      <w:r>
        <w:rPr>
          <w:sz w:val="22"/>
          <w:szCs w:val="22"/>
        </w:rPr>
        <w:t>Y. (2016).</w:t>
      </w:r>
      <w:proofErr w:type="gramEnd"/>
      <w:r>
        <w:rPr>
          <w:sz w:val="22"/>
          <w:szCs w:val="22"/>
        </w:rPr>
        <w:t xml:space="preserve"> </w:t>
      </w:r>
      <w:proofErr w:type="gramStart"/>
      <w:r>
        <w:rPr>
          <w:sz w:val="22"/>
          <w:szCs w:val="22"/>
        </w:rPr>
        <w:t xml:space="preserve">Pengaruh </w:t>
      </w:r>
      <w:r>
        <w:rPr>
          <w:i/>
          <w:sz w:val="22"/>
          <w:szCs w:val="22"/>
        </w:rPr>
        <w:t>Good Corporate Governance</w:t>
      </w:r>
      <w:r>
        <w:rPr>
          <w:sz w:val="22"/>
          <w:szCs w:val="22"/>
        </w:rPr>
        <w:t xml:space="preserve"> Terhadap Penghindaran Pajak.</w:t>
      </w:r>
      <w:proofErr w:type="gramEnd"/>
      <w:r>
        <w:rPr>
          <w:sz w:val="22"/>
          <w:szCs w:val="22"/>
        </w:rPr>
        <w:t xml:space="preserve"> </w:t>
      </w:r>
      <w:r>
        <w:rPr>
          <w:i/>
          <w:sz w:val="22"/>
          <w:szCs w:val="22"/>
        </w:rPr>
        <w:t>Jurnal Perpajakan (JEJAK)</w:t>
      </w:r>
      <w:r>
        <w:rPr>
          <w:sz w:val="22"/>
          <w:szCs w:val="22"/>
        </w:rPr>
        <w:t xml:space="preserve">, </w:t>
      </w:r>
      <w:r>
        <w:rPr>
          <w:i/>
          <w:sz w:val="22"/>
          <w:szCs w:val="22"/>
        </w:rPr>
        <w:t>11</w:t>
      </w:r>
      <w:r>
        <w:rPr>
          <w:sz w:val="22"/>
          <w:szCs w:val="22"/>
        </w:rPr>
        <w:t>(1), 1–18.</w:t>
      </w:r>
    </w:p>
    <w:p w:rsidR="008101AE" w:rsidRDefault="004C5AA8" w:rsidP="00070F47">
      <w:pPr>
        <w:pBdr>
          <w:top w:val="nil"/>
          <w:left w:val="nil"/>
          <w:bottom w:val="nil"/>
          <w:right w:val="nil"/>
          <w:between w:val="nil"/>
        </w:pBdr>
        <w:ind w:left="480" w:hanging="480"/>
        <w:jc w:val="both"/>
        <w:rPr>
          <w:color w:val="000000"/>
          <w:sz w:val="22"/>
          <w:szCs w:val="22"/>
        </w:rPr>
      </w:pPr>
      <w:proofErr w:type="gramStart"/>
      <w:r>
        <w:rPr>
          <w:color w:val="000000"/>
          <w:sz w:val="22"/>
          <w:szCs w:val="22"/>
        </w:rPr>
        <w:t>Wijayanti, Y. C., &amp; Merkusiwati, N. K. L. A. (2017).</w:t>
      </w:r>
      <w:proofErr w:type="gramEnd"/>
      <w:r>
        <w:rPr>
          <w:color w:val="000000"/>
          <w:sz w:val="22"/>
          <w:szCs w:val="22"/>
        </w:rPr>
        <w:t xml:space="preserve"> Pengaruh Proporsi Komisaris Independen, Kepemilikan Institusional, </w:t>
      </w:r>
      <w:r>
        <w:rPr>
          <w:i/>
          <w:color w:val="000000"/>
          <w:sz w:val="22"/>
          <w:szCs w:val="22"/>
        </w:rPr>
        <w:t>Leverage</w:t>
      </w:r>
      <w:r>
        <w:rPr>
          <w:color w:val="000000"/>
          <w:sz w:val="22"/>
          <w:szCs w:val="22"/>
        </w:rPr>
        <w:t xml:space="preserve">, Dan Ukuran Perusahaan Pada Penghindaran Pajak. </w:t>
      </w:r>
      <w:r>
        <w:rPr>
          <w:i/>
          <w:color w:val="000000"/>
          <w:sz w:val="22"/>
          <w:szCs w:val="22"/>
        </w:rPr>
        <w:t>Akuntansi Universitas Udayana</w:t>
      </w:r>
      <w:r>
        <w:rPr>
          <w:color w:val="000000"/>
          <w:sz w:val="22"/>
          <w:szCs w:val="22"/>
        </w:rPr>
        <w:t xml:space="preserve">, </w:t>
      </w:r>
      <w:r>
        <w:rPr>
          <w:i/>
          <w:color w:val="000000"/>
          <w:sz w:val="22"/>
          <w:szCs w:val="22"/>
        </w:rPr>
        <w:t>20</w:t>
      </w:r>
      <w:r>
        <w:rPr>
          <w:color w:val="000000"/>
          <w:sz w:val="22"/>
          <w:szCs w:val="22"/>
        </w:rPr>
        <w:t>(1), 699–728. ISSN: 2302-8556.</w:t>
      </w:r>
    </w:p>
    <w:p w:rsidR="008101AE" w:rsidRDefault="004C5AA8" w:rsidP="00070F47">
      <w:pPr>
        <w:ind w:left="480" w:hanging="480"/>
        <w:jc w:val="both"/>
        <w:rPr>
          <w:sz w:val="22"/>
          <w:szCs w:val="22"/>
        </w:rPr>
      </w:pPr>
      <w:proofErr w:type="gramStart"/>
      <w:r>
        <w:rPr>
          <w:sz w:val="22"/>
          <w:szCs w:val="22"/>
        </w:rPr>
        <w:t>Winata, F. (2014).</w:t>
      </w:r>
      <w:proofErr w:type="gramEnd"/>
      <w:r>
        <w:rPr>
          <w:sz w:val="22"/>
          <w:szCs w:val="22"/>
        </w:rPr>
        <w:t xml:space="preserve"> </w:t>
      </w:r>
      <w:proofErr w:type="gramStart"/>
      <w:r>
        <w:rPr>
          <w:sz w:val="22"/>
          <w:szCs w:val="22"/>
        </w:rPr>
        <w:t xml:space="preserve">Pengaruh </w:t>
      </w:r>
      <w:r>
        <w:rPr>
          <w:i/>
          <w:sz w:val="22"/>
          <w:szCs w:val="22"/>
        </w:rPr>
        <w:t>Corporate Governance</w:t>
      </w:r>
      <w:r>
        <w:rPr>
          <w:sz w:val="22"/>
          <w:szCs w:val="22"/>
        </w:rPr>
        <w:t xml:space="preserve"> Terhadap </w:t>
      </w:r>
      <w:r>
        <w:rPr>
          <w:i/>
          <w:sz w:val="22"/>
          <w:szCs w:val="22"/>
        </w:rPr>
        <w:t>Tax Avoidance</w:t>
      </w:r>
      <w:r>
        <w:rPr>
          <w:sz w:val="22"/>
          <w:szCs w:val="22"/>
        </w:rPr>
        <w:t xml:space="preserve"> Pada Perusahaan Yang Terdaftar Di Bursa Efek Indonesia Tahun 2013.</w:t>
      </w:r>
      <w:proofErr w:type="gramEnd"/>
      <w:r>
        <w:rPr>
          <w:sz w:val="22"/>
          <w:szCs w:val="22"/>
        </w:rPr>
        <w:t xml:space="preserve"> </w:t>
      </w:r>
      <w:r>
        <w:rPr>
          <w:i/>
          <w:sz w:val="22"/>
          <w:szCs w:val="22"/>
        </w:rPr>
        <w:t>Tax &amp; Accounting Review</w:t>
      </w:r>
      <w:r>
        <w:rPr>
          <w:sz w:val="22"/>
          <w:szCs w:val="22"/>
        </w:rPr>
        <w:t xml:space="preserve">, </w:t>
      </w:r>
      <w:r>
        <w:rPr>
          <w:i/>
          <w:sz w:val="22"/>
          <w:szCs w:val="22"/>
        </w:rPr>
        <w:t>4 (1</w:t>
      </w:r>
      <w:proofErr w:type="gramStart"/>
      <w:r>
        <w:rPr>
          <w:i/>
          <w:sz w:val="22"/>
          <w:szCs w:val="22"/>
        </w:rPr>
        <w:t>)</w:t>
      </w:r>
      <w:r>
        <w:rPr>
          <w:sz w:val="22"/>
          <w:szCs w:val="22"/>
        </w:rPr>
        <w:t>(</w:t>
      </w:r>
      <w:proofErr w:type="gramEnd"/>
      <w:r>
        <w:rPr>
          <w:sz w:val="22"/>
          <w:szCs w:val="22"/>
        </w:rPr>
        <w:t>1), 1–11. https://doi.org/10.2307/2692184.</w:t>
      </w:r>
    </w:p>
    <w:p w:rsidR="008101AE" w:rsidRDefault="004C5AA8" w:rsidP="00070F47">
      <w:pPr>
        <w:pBdr>
          <w:top w:val="nil"/>
          <w:left w:val="nil"/>
          <w:bottom w:val="nil"/>
          <w:right w:val="nil"/>
          <w:between w:val="nil"/>
        </w:pBdr>
        <w:ind w:left="284" w:hanging="284"/>
        <w:jc w:val="both"/>
        <w:rPr>
          <w:color w:val="000000"/>
          <w:sz w:val="22"/>
          <w:szCs w:val="22"/>
        </w:rPr>
      </w:pPr>
      <w:r>
        <w:rPr>
          <w:color w:val="000000"/>
          <w:sz w:val="22"/>
          <w:szCs w:val="22"/>
        </w:rPr>
        <w:t xml:space="preserve">Wulansari, R. (2015). Pengaruh Karakteristik </w:t>
      </w:r>
      <w:r>
        <w:rPr>
          <w:i/>
          <w:color w:val="000000"/>
          <w:sz w:val="22"/>
          <w:szCs w:val="22"/>
        </w:rPr>
        <w:t>Corporate Governance</w:t>
      </w:r>
      <w:r>
        <w:rPr>
          <w:color w:val="000000"/>
          <w:sz w:val="22"/>
          <w:szCs w:val="22"/>
        </w:rPr>
        <w:t xml:space="preserve"> Terhadap </w:t>
      </w:r>
      <w:r>
        <w:rPr>
          <w:i/>
          <w:color w:val="000000"/>
          <w:sz w:val="22"/>
          <w:szCs w:val="22"/>
        </w:rPr>
        <w:t>Effective Tax Rate</w:t>
      </w:r>
      <w:r>
        <w:rPr>
          <w:color w:val="000000"/>
          <w:sz w:val="22"/>
          <w:szCs w:val="22"/>
        </w:rPr>
        <w:t xml:space="preserve"> (ETR) (Studi Empiris Pada Perusahaan Perbankan Yang Terdaftar di BEI Tahun 2011-2013). </w:t>
      </w:r>
      <w:r>
        <w:rPr>
          <w:i/>
          <w:color w:val="000000"/>
          <w:sz w:val="22"/>
          <w:szCs w:val="22"/>
        </w:rPr>
        <w:t>Faculty of Economy Riau University</w:t>
      </w:r>
      <w:r>
        <w:rPr>
          <w:color w:val="000000"/>
          <w:sz w:val="22"/>
          <w:szCs w:val="22"/>
        </w:rPr>
        <w:t xml:space="preserve">, </w:t>
      </w:r>
      <w:r>
        <w:rPr>
          <w:i/>
          <w:color w:val="000000"/>
          <w:sz w:val="22"/>
          <w:szCs w:val="22"/>
        </w:rPr>
        <w:t>2</w:t>
      </w:r>
      <w:r>
        <w:rPr>
          <w:color w:val="000000"/>
          <w:sz w:val="22"/>
          <w:szCs w:val="22"/>
        </w:rPr>
        <w:t>(2), 1–15.</w:t>
      </w:r>
    </w:p>
    <w:p w:rsidR="008101AE" w:rsidRDefault="008101AE" w:rsidP="006228B0">
      <w:pPr>
        <w:pBdr>
          <w:top w:val="nil"/>
          <w:left w:val="nil"/>
          <w:bottom w:val="nil"/>
          <w:right w:val="nil"/>
          <w:between w:val="nil"/>
        </w:pBdr>
        <w:jc w:val="both"/>
        <w:rPr>
          <w:color w:val="000000"/>
          <w:sz w:val="22"/>
          <w:szCs w:val="22"/>
        </w:rPr>
      </w:pPr>
      <w:bookmarkStart w:id="0" w:name="_GoBack"/>
      <w:bookmarkEnd w:id="0"/>
    </w:p>
    <w:sectPr w:rsidR="008101AE" w:rsidSect="006B2576">
      <w:headerReference w:type="default" r:id="rId14"/>
      <w:footerReference w:type="default" r:id="rId15"/>
      <w:type w:val="continuous"/>
      <w:pgSz w:w="12240" w:h="15840"/>
      <w:pgMar w:top="1440" w:right="1797" w:bottom="1440" w:left="1797" w:header="709" w:footer="875" w:gutter="0"/>
      <w:pgNumType w:start="1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93" w:rsidRDefault="004C5AA8">
      <w:r>
        <w:separator/>
      </w:r>
    </w:p>
  </w:endnote>
  <w:endnote w:type="continuationSeparator" w:id="0">
    <w:p w:rsidR="009F1893" w:rsidRDefault="004C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54664"/>
      <w:docPartObj>
        <w:docPartGallery w:val="Page Numbers (Bottom of Page)"/>
        <w:docPartUnique/>
      </w:docPartObj>
    </w:sdtPr>
    <w:sdtEndPr>
      <w:rPr>
        <w:noProof/>
      </w:rPr>
    </w:sdtEndPr>
    <w:sdtContent>
      <w:p w:rsidR="00363249" w:rsidRDefault="00363249" w:rsidP="00363249">
        <w:pPr>
          <w:pStyle w:val="Footer"/>
          <w:jc w:val="right"/>
          <w:rPr>
            <w:noProof/>
          </w:rPr>
        </w:pPr>
        <w:r>
          <w:fldChar w:fldCharType="begin"/>
        </w:r>
        <w:r>
          <w:instrText xml:space="preserve"> PAGE   \* MERGEFORMAT </w:instrText>
        </w:r>
        <w:r>
          <w:fldChar w:fldCharType="separate"/>
        </w:r>
        <w:r w:rsidR="0096213C">
          <w:rPr>
            <w:noProof/>
          </w:rPr>
          <w:t>115</w:t>
        </w:r>
        <w:r>
          <w:rPr>
            <w:noProof/>
          </w:rPr>
          <w:fldChar w:fldCharType="end"/>
        </w:r>
      </w:p>
      <w:p w:rsidR="00363249" w:rsidRDefault="00363249" w:rsidP="00363249">
        <w:pPr>
          <w:tabs>
            <w:tab w:val="left" w:pos="1356"/>
            <w:tab w:val="center" w:pos="4680"/>
          </w:tabs>
          <w:ind w:left="-14" w:right="-14"/>
          <w:contextualSpacing/>
          <w:rPr>
            <w:rFonts w:ascii="Arial" w:eastAsia="Arial" w:hAnsi="Arial" w:cs="Arial"/>
            <w:sz w:val="18"/>
            <w:szCs w:val="18"/>
          </w:rPr>
        </w:pPr>
        <w:r>
          <w:rPr>
            <w:rFonts w:ascii="Arial" w:eastAsia="Arial" w:hAnsi="Arial" w:cs="Arial"/>
            <w:spacing w:val="1"/>
            <w:sz w:val="18"/>
            <w:szCs w:val="18"/>
          </w:rPr>
          <w:tab/>
        </w:r>
        <w:r>
          <w:rPr>
            <w:rFonts w:ascii="Arial" w:eastAsia="Arial" w:hAnsi="Arial" w:cs="Arial"/>
            <w:spacing w:val="1"/>
            <w:sz w:val="18"/>
            <w:szCs w:val="18"/>
          </w:rPr>
          <w:tab/>
          <w:t>Ju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Ge</w:t>
        </w:r>
        <w:r>
          <w:rPr>
            <w:rFonts w:ascii="Arial" w:eastAsia="Arial" w:hAnsi="Arial" w:cs="Arial"/>
            <w:spacing w:val="1"/>
            <w:sz w:val="18"/>
            <w:szCs w:val="18"/>
          </w:rPr>
          <w:t>o</w:t>
        </w:r>
        <w:r>
          <w:rPr>
            <w:rFonts w:ascii="Arial" w:eastAsia="Arial" w:hAnsi="Arial" w:cs="Arial"/>
            <w:spacing w:val="-3"/>
            <w:sz w:val="18"/>
            <w:szCs w:val="18"/>
          </w:rPr>
          <w:t>E</w:t>
        </w:r>
        <w:r>
          <w:rPr>
            <w:rFonts w:ascii="Arial" w:eastAsia="Arial" w:hAnsi="Arial" w:cs="Arial"/>
            <w:spacing w:val="1"/>
            <w:sz w:val="18"/>
            <w:szCs w:val="18"/>
          </w:rPr>
          <w:t>kon</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ISS</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2</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pacing w:val="3"/>
            <w:sz w:val="18"/>
            <w:szCs w:val="18"/>
          </w:rPr>
          <w:t>3</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pacing w:val="1"/>
            <w:sz w:val="18"/>
            <w:szCs w:val="18"/>
          </w:rPr>
          <w:t>79</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8</w:t>
        </w:r>
        <w:r>
          <w:rPr>
            <w:rFonts w:ascii="Arial" w:eastAsia="Arial" w:hAnsi="Arial" w:cs="Arial"/>
            <w:spacing w:val="2"/>
            <w:sz w:val="18"/>
            <w:szCs w:val="18"/>
          </w:rPr>
          <w:t>6</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pacing w:val="1"/>
            <w:sz w:val="18"/>
            <w:szCs w:val="18"/>
          </w:rPr>
          <w:t>1</w:t>
        </w:r>
        <w:r>
          <w:rPr>
            <w:rFonts w:ascii="Arial" w:eastAsia="Arial" w:hAnsi="Arial" w:cs="Arial"/>
            <w:sz w:val="18"/>
            <w:szCs w:val="18"/>
          </w:rPr>
          <w:t>7</w:t>
        </w:r>
      </w:p>
      <w:p w:rsidR="00363249" w:rsidRDefault="00363249" w:rsidP="00363249">
        <w:pPr>
          <w:ind w:left="379" w:right="381"/>
          <w:contextualSpacing/>
          <w:jc w:val="center"/>
          <w:rPr>
            <w:rFonts w:ascii="Arial" w:eastAsia="Arial" w:hAnsi="Arial" w:cs="Arial"/>
            <w:color w:val="0000FF"/>
            <w:sz w:val="18"/>
            <w:szCs w:val="18"/>
          </w:rPr>
        </w:pPr>
        <w:r>
          <w:rPr>
            <w:rFonts w:ascii="Arial" w:eastAsia="Arial" w:hAnsi="Arial" w:cs="Arial"/>
            <w:sz w:val="18"/>
            <w:szCs w:val="18"/>
          </w:rPr>
          <w:t>V</w:t>
        </w:r>
        <w:r>
          <w:rPr>
            <w:rFonts w:ascii="Arial" w:eastAsia="Arial" w:hAnsi="Arial" w:cs="Arial"/>
            <w:spacing w:val="1"/>
            <w:sz w:val="18"/>
            <w:szCs w:val="18"/>
          </w:rPr>
          <w:t>olu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13</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 xml:space="preserve"> 01 </w:t>
        </w:r>
        <w:r>
          <w:rPr>
            <w:rFonts w:ascii="Arial" w:eastAsia="Arial" w:hAnsi="Arial" w:cs="Arial"/>
            <w:spacing w:val="-4"/>
            <w:sz w:val="18"/>
            <w:szCs w:val="18"/>
          </w:rPr>
          <w:t>Maret 2022</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I: </w:t>
        </w:r>
        <w:r>
          <w:rPr>
            <w:rFonts w:ascii="Arial" w:eastAsia="Arial" w:hAnsi="Arial" w:cs="Arial"/>
            <w:color w:val="0000FF"/>
            <w:spacing w:val="-48"/>
            <w:sz w:val="18"/>
            <w:szCs w:val="18"/>
          </w:rPr>
          <w:t xml:space="preserve"> </w:t>
        </w:r>
        <w:r>
          <w:rPr>
            <w:rFonts w:ascii="Arial" w:eastAsia="Arial" w:hAnsi="Arial" w:cs="Arial"/>
            <w:color w:val="0000FF"/>
            <w:spacing w:val="1"/>
            <w:sz w:val="18"/>
            <w:szCs w:val="18"/>
            <w:u w:val="single" w:color="0000FF"/>
          </w:rPr>
          <w:t>d</w:t>
        </w:r>
        <w:r>
          <w:rPr>
            <w:rFonts w:ascii="Arial" w:eastAsia="Arial" w:hAnsi="Arial" w:cs="Arial"/>
            <w:color w:val="0000FF"/>
            <w:spacing w:val="-2"/>
            <w:sz w:val="18"/>
            <w:szCs w:val="18"/>
            <w:u w:val="single" w:color="0000FF"/>
          </w:rPr>
          <w:t>o</w:t>
        </w:r>
        <w:r>
          <w:rPr>
            <w:rFonts w:ascii="Arial" w:eastAsia="Arial" w:hAnsi="Arial" w:cs="Arial"/>
            <w:color w:val="0000FF"/>
            <w:spacing w:val="1"/>
            <w:sz w:val="18"/>
            <w:szCs w:val="18"/>
            <w:u w:val="single" w:color="0000FF"/>
          </w:rPr>
          <w:t>i</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o</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g</w:t>
        </w:r>
        <w:r>
          <w:rPr>
            <w:rFonts w:ascii="Arial" w:eastAsia="Arial" w:hAnsi="Arial" w:cs="Arial"/>
            <w:color w:val="0000FF"/>
            <w:spacing w:val="-2"/>
            <w:sz w:val="18"/>
            <w:szCs w:val="18"/>
            <w:u w:val="single" w:color="0000FF"/>
          </w:rPr>
          <w:t>/</w:t>
        </w:r>
        <w:r>
          <w:rPr>
            <w:rFonts w:ascii="Arial" w:eastAsia="Arial" w:hAnsi="Arial" w:cs="Arial"/>
            <w:color w:val="0000FF"/>
            <w:spacing w:val="1"/>
            <w:sz w:val="18"/>
            <w:szCs w:val="18"/>
            <w:u w:val="single" w:color="0000FF"/>
          </w:rPr>
          <w:t>10</w:t>
        </w:r>
        <w:r>
          <w:rPr>
            <w:rFonts w:ascii="Arial" w:eastAsia="Arial" w:hAnsi="Arial" w:cs="Arial"/>
            <w:color w:val="0000FF"/>
            <w:spacing w:val="-2"/>
            <w:sz w:val="18"/>
            <w:szCs w:val="18"/>
            <w:u w:val="single" w:color="0000FF"/>
          </w:rPr>
          <w:t>.</w:t>
        </w:r>
        <w:r>
          <w:rPr>
            <w:rFonts w:ascii="Arial" w:eastAsia="Arial" w:hAnsi="Arial" w:cs="Arial"/>
            <w:color w:val="0000FF"/>
            <w:spacing w:val="1"/>
            <w:sz w:val="18"/>
            <w:szCs w:val="18"/>
            <w:u w:val="single" w:color="0000FF"/>
          </w:rPr>
          <w:t>362</w:t>
        </w:r>
        <w:r>
          <w:rPr>
            <w:rFonts w:ascii="Arial" w:eastAsia="Arial" w:hAnsi="Arial" w:cs="Arial"/>
            <w:color w:val="0000FF"/>
            <w:spacing w:val="-2"/>
            <w:sz w:val="18"/>
            <w:szCs w:val="18"/>
            <w:u w:val="single" w:color="0000FF"/>
          </w:rPr>
          <w:t>7</w:t>
        </w:r>
        <w:r>
          <w:rPr>
            <w:rFonts w:ascii="Arial" w:eastAsia="Arial" w:hAnsi="Arial" w:cs="Arial"/>
            <w:color w:val="0000FF"/>
            <w:spacing w:val="1"/>
            <w:sz w:val="18"/>
            <w:szCs w:val="18"/>
            <w:u w:val="single" w:color="0000FF"/>
          </w:rPr>
          <w:t>7</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g</w:t>
        </w:r>
        <w:r>
          <w:rPr>
            <w:rFonts w:ascii="Arial" w:eastAsia="Arial" w:hAnsi="Arial" w:cs="Arial"/>
            <w:color w:val="0000FF"/>
            <w:spacing w:val="1"/>
            <w:sz w:val="18"/>
            <w:szCs w:val="18"/>
            <w:u w:val="single" w:color="0000FF"/>
          </w:rPr>
          <w:t>eoe</w:t>
        </w:r>
        <w:r>
          <w:rPr>
            <w:rFonts w:ascii="Arial" w:eastAsia="Arial" w:hAnsi="Arial" w:cs="Arial"/>
            <w:color w:val="0000FF"/>
            <w:spacing w:val="-1"/>
            <w:sz w:val="18"/>
            <w:szCs w:val="18"/>
            <w:u w:val="single" w:color="0000FF"/>
          </w:rPr>
          <w:t>k</w:t>
        </w:r>
        <w:r>
          <w:rPr>
            <w:rFonts w:ascii="Arial" w:eastAsia="Arial" w:hAnsi="Arial" w:cs="Arial"/>
            <w:color w:val="0000FF"/>
            <w:spacing w:val="1"/>
            <w:sz w:val="18"/>
            <w:szCs w:val="18"/>
            <w:u w:val="single" w:color="0000FF"/>
          </w:rPr>
          <w:t>on</w:t>
        </w:r>
        <w:r>
          <w:rPr>
            <w:rFonts w:ascii="Arial" w:eastAsia="Arial" w:hAnsi="Arial" w:cs="Arial"/>
            <w:color w:val="0000FF"/>
            <w:spacing w:val="-2"/>
            <w:sz w:val="18"/>
            <w:szCs w:val="18"/>
            <w:u w:val="single" w:color="0000FF"/>
          </w:rPr>
          <w:t>o</w:t>
        </w:r>
        <w:r>
          <w:rPr>
            <w:rFonts w:ascii="Arial" w:eastAsia="Arial" w:hAnsi="Arial" w:cs="Arial"/>
            <w:color w:val="0000FF"/>
            <w:spacing w:val="1"/>
            <w:sz w:val="18"/>
            <w:szCs w:val="18"/>
            <w:u w:val="single" w:color="0000FF"/>
          </w:rPr>
          <w:t>m</w:t>
        </w:r>
        <w:r>
          <w:rPr>
            <w:rFonts w:ascii="Arial" w:eastAsia="Arial" w:hAnsi="Arial" w:cs="Arial"/>
            <w:color w:val="0000FF"/>
            <w:sz w:val="18"/>
            <w:szCs w:val="18"/>
            <w:u w:val="single" w:color="0000FF"/>
          </w:rPr>
          <w:t>i</w:t>
        </w:r>
        <w:r>
          <w:rPr>
            <w:rFonts w:ascii="Arial" w:eastAsia="Arial" w:hAnsi="Arial" w:cs="Arial"/>
            <w:color w:val="0000FF"/>
            <w:sz w:val="18"/>
            <w:szCs w:val="18"/>
          </w:rPr>
          <w:t xml:space="preserve"> </w:t>
        </w:r>
      </w:p>
      <w:p w:rsidR="008101AE" w:rsidRPr="00363249" w:rsidRDefault="00363249" w:rsidP="00363249">
        <w:pPr>
          <w:spacing w:after="160"/>
          <w:ind w:left="379" w:right="381"/>
          <w:contextualSpacing/>
          <w:jc w:val="center"/>
          <w:rPr>
            <w:noProof/>
          </w:rPr>
        </w:pPr>
        <w:hyperlink r:id="rId1">
          <w:r>
            <w:rPr>
              <w:rFonts w:ascii="Arial" w:eastAsia="Arial" w:hAnsi="Arial" w:cs="Arial"/>
              <w:color w:val="0000FF"/>
              <w:spacing w:val="1"/>
              <w:sz w:val="18"/>
              <w:szCs w:val="18"/>
              <w:u w:val="single" w:color="0000FF"/>
            </w:rPr>
            <w:t>h</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tp</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w:t>
          </w:r>
          <w:r>
            <w:rPr>
              <w:rFonts w:ascii="Arial" w:eastAsia="Arial" w:hAnsi="Arial" w:cs="Arial"/>
              <w:color w:val="0000FF"/>
              <w:spacing w:val="-2"/>
              <w:sz w:val="18"/>
              <w:szCs w:val="18"/>
              <w:u w:val="single" w:color="0000FF"/>
            </w:rPr>
            <w:t>/</w:t>
          </w:r>
          <w:r>
            <w:rPr>
              <w:rFonts w:ascii="Arial" w:eastAsia="Arial" w:hAnsi="Arial" w:cs="Arial"/>
              <w:color w:val="0000FF"/>
              <w:spacing w:val="1"/>
              <w:sz w:val="18"/>
              <w:szCs w:val="18"/>
              <w:u w:val="single" w:color="0000FF"/>
            </w:rPr>
            <w:t>ju</w:t>
          </w:r>
          <w:r>
            <w:rPr>
              <w:rFonts w:ascii="Arial" w:eastAsia="Arial" w:hAnsi="Arial" w:cs="Arial"/>
              <w:color w:val="0000FF"/>
              <w:sz w:val="18"/>
              <w:szCs w:val="18"/>
              <w:u w:val="single" w:color="0000FF"/>
            </w:rPr>
            <w:t>r</w:t>
          </w:r>
          <w:r>
            <w:rPr>
              <w:rFonts w:ascii="Arial" w:eastAsia="Arial" w:hAnsi="Arial" w:cs="Arial"/>
              <w:color w:val="0000FF"/>
              <w:spacing w:val="-2"/>
              <w:sz w:val="18"/>
              <w:szCs w:val="18"/>
              <w:u w:val="single" w:color="0000FF"/>
            </w:rPr>
            <w:t>n</w:t>
          </w:r>
          <w:r>
            <w:rPr>
              <w:rFonts w:ascii="Arial" w:eastAsia="Arial" w:hAnsi="Arial" w:cs="Arial"/>
              <w:color w:val="0000FF"/>
              <w:spacing w:val="1"/>
              <w:sz w:val="18"/>
              <w:szCs w:val="18"/>
              <w:u w:val="single" w:color="0000FF"/>
            </w:rPr>
            <w:t>al</w:t>
          </w:r>
          <w:r>
            <w:rPr>
              <w:rFonts w:ascii="Arial" w:eastAsia="Arial" w:hAnsi="Arial" w:cs="Arial"/>
              <w:color w:val="0000FF"/>
              <w:sz w:val="18"/>
              <w:szCs w:val="18"/>
              <w:u w:val="single" w:color="0000FF"/>
            </w:rPr>
            <w:t>.</w:t>
          </w:r>
          <w:r>
            <w:rPr>
              <w:rFonts w:ascii="Arial" w:eastAsia="Arial" w:hAnsi="Arial" w:cs="Arial"/>
              <w:color w:val="0000FF"/>
              <w:spacing w:val="-2"/>
              <w:sz w:val="18"/>
              <w:szCs w:val="18"/>
              <w:u w:val="single" w:color="0000FF"/>
            </w:rPr>
            <w:t>f</w:t>
          </w:r>
          <w:r>
            <w:rPr>
              <w:rFonts w:ascii="Arial" w:eastAsia="Arial" w:hAnsi="Arial" w:cs="Arial"/>
              <w:color w:val="0000FF"/>
              <w:spacing w:val="1"/>
              <w:sz w:val="18"/>
              <w:szCs w:val="18"/>
              <w:u w:val="single" w:color="0000FF"/>
            </w:rPr>
            <w:t>em</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u</w:t>
          </w:r>
          <w:r>
            <w:rPr>
              <w:rFonts w:ascii="Arial" w:eastAsia="Arial" w:hAnsi="Arial" w:cs="Arial"/>
              <w:color w:val="0000FF"/>
              <w:spacing w:val="1"/>
              <w:sz w:val="18"/>
              <w:szCs w:val="18"/>
              <w:u w:val="single" w:color="0000FF"/>
            </w:rPr>
            <w:t>ni</w:t>
          </w:r>
          <w:r>
            <w:rPr>
              <w:rFonts w:ascii="Arial" w:eastAsia="Arial" w:hAnsi="Arial" w:cs="Arial"/>
              <w:color w:val="0000FF"/>
              <w:spacing w:val="-2"/>
              <w:sz w:val="18"/>
              <w:szCs w:val="18"/>
              <w:u w:val="single" w:color="0000FF"/>
            </w:rPr>
            <w:t>b</w:t>
          </w:r>
          <w:r>
            <w:rPr>
              <w:rFonts w:ascii="Arial" w:eastAsia="Arial" w:hAnsi="Arial" w:cs="Arial"/>
              <w:color w:val="0000FF"/>
              <w:spacing w:val="3"/>
              <w:sz w:val="18"/>
              <w:szCs w:val="18"/>
              <w:u w:val="single" w:color="0000FF"/>
            </w:rPr>
            <w:t>a</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b</w:t>
          </w:r>
          <w:r>
            <w:rPr>
              <w:rFonts w:ascii="Arial" w:eastAsia="Arial" w:hAnsi="Arial" w:cs="Arial"/>
              <w:color w:val="0000FF"/>
              <w:spacing w:val="-2"/>
              <w:sz w:val="18"/>
              <w:szCs w:val="18"/>
              <w:u w:val="single" w:color="0000FF"/>
            </w:rPr>
            <w:t>p</w:t>
          </w:r>
          <w:r>
            <w:rPr>
              <w:rFonts w:ascii="Arial" w:eastAsia="Arial" w:hAnsi="Arial" w:cs="Arial"/>
              <w:color w:val="0000FF"/>
              <w:spacing w:val="1"/>
              <w:sz w:val="18"/>
              <w:szCs w:val="18"/>
              <w:u w:val="single" w:color="0000FF"/>
            </w:rPr>
            <w:t>n</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a</w:t>
          </w:r>
          <w:r>
            <w:rPr>
              <w:rFonts w:ascii="Arial" w:eastAsia="Arial" w:hAnsi="Arial" w:cs="Arial"/>
              <w:color w:val="0000FF"/>
              <w:spacing w:val="1"/>
              <w:sz w:val="18"/>
              <w:szCs w:val="18"/>
              <w:u w:val="single" w:color="0000FF"/>
            </w:rPr>
            <w:t>c</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i</w:t>
          </w:r>
          <w:r>
            <w:rPr>
              <w:rFonts w:ascii="Arial" w:eastAsia="Arial" w:hAnsi="Arial" w:cs="Arial"/>
              <w:color w:val="0000FF"/>
              <w:spacing w:val="1"/>
              <w:sz w:val="18"/>
              <w:szCs w:val="18"/>
              <w:u w:val="single" w:color="0000FF"/>
            </w:rPr>
            <w:t>d</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in</w:t>
          </w:r>
          <w:r>
            <w:rPr>
              <w:rFonts w:ascii="Arial" w:eastAsia="Arial" w:hAnsi="Arial" w:cs="Arial"/>
              <w:color w:val="0000FF"/>
              <w:sz w:val="18"/>
              <w:szCs w:val="18"/>
              <w:u w:val="single" w:color="0000FF"/>
            </w:rPr>
            <w:t>d</w:t>
          </w:r>
          <w:r>
            <w:rPr>
              <w:rFonts w:ascii="Arial" w:eastAsia="Arial" w:hAnsi="Arial" w:cs="Arial"/>
              <w:color w:val="0000FF"/>
              <w:spacing w:val="1"/>
              <w:sz w:val="18"/>
              <w:szCs w:val="18"/>
              <w:u w:val="single" w:color="0000FF"/>
            </w:rPr>
            <w:t>e</w:t>
          </w:r>
          <w:r>
            <w:rPr>
              <w:rFonts w:ascii="Arial" w:eastAsia="Arial" w:hAnsi="Arial" w:cs="Arial"/>
              <w:color w:val="0000FF"/>
              <w:spacing w:val="-4"/>
              <w:sz w:val="18"/>
              <w:szCs w:val="18"/>
              <w:u w:val="single" w:color="0000FF"/>
            </w:rPr>
            <w:t>x</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php</w:t>
          </w:r>
          <w:r>
            <w:rPr>
              <w:rFonts w:ascii="Arial" w:eastAsia="Arial" w:hAnsi="Arial" w:cs="Arial"/>
              <w:color w:val="0000FF"/>
              <w:sz w:val="18"/>
              <w:szCs w:val="18"/>
              <w:u w:val="single" w:color="0000FF"/>
            </w:rPr>
            <w:t>/</w:t>
          </w:r>
        </w:hyperlink>
        <w:r>
          <w:rPr>
            <w:rFonts w:ascii="Arial" w:eastAsia="Arial" w:hAnsi="Arial" w:cs="Arial"/>
            <w:color w:val="0000FF"/>
            <w:spacing w:val="1"/>
            <w:sz w:val="18"/>
            <w:szCs w:val="18"/>
            <w:u w:val="single" w:color="0000FF"/>
          </w:rPr>
          <w:t>geo</w:t>
        </w:r>
        <w:r>
          <w:rPr>
            <w:rFonts w:ascii="Arial" w:eastAsia="Arial" w:hAnsi="Arial" w:cs="Arial"/>
            <w:color w:val="0000FF"/>
            <w:spacing w:val="-2"/>
            <w:sz w:val="18"/>
            <w:szCs w:val="18"/>
            <w:u w:val="single" w:color="0000FF"/>
          </w:rPr>
          <w:t>e</w:t>
        </w:r>
        <w:r>
          <w:rPr>
            <w:rFonts w:ascii="Arial" w:eastAsia="Arial" w:hAnsi="Arial" w:cs="Arial"/>
            <w:color w:val="0000FF"/>
            <w:spacing w:val="1"/>
            <w:sz w:val="18"/>
            <w:szCs w:val="18"/>
            <w:u w:val="single" w:color="0000FF"/>
          </w:rPr>
          <w:t>k</w:t>
        </w:r>
        <w:r>
          <w:rPr>
            <w:rFonts w:ascii="Arial" w:eastAsia="Arial" w:hAnsi="Arial" w:cs="Arial"/>
            <w:color w:val="0000FF"/>
            <w:spacing w:val="-2"/>
            <w:sz w:val="18"/>
            <w:szCs w:val="18"/>
            <w:u w:val="single" w:color="0000FF"/>
          </w:rPr>
          <w:t>o</w:t>
        </w:r>
        <w:r>
          <w:rPr>
            <w:rFonts w:ascii="Arial" w:eastAsia="Arial" w:hAnsi="Arial" w:cs="Arial"/>
            <w:color w:val="0000FF"/>
            <w:spacing w:val="1"/>
            <w:sz w:val="18"/>
            <w:szCs w:val="18"/>
            <w:u w:val="single" w:color="0000FF"/>
          </w:rPr>
          <w:t>no</w:t>
        </w:r>
        <w:r>
          <w:rPr>
            <w:rFonts w:ascii="Arial" w:eastAsia="Arial" w:hAnsi="Arial" w:cs="Arial"/>
            <w:color w:val="0000FF"/>
            <w:spacing w:val="-1"/>
            <w:sz w:val="18"/>
            <w:szCs w:val="18"/>
            <w:u w:val="single" w:color="0000FF"/>
          </w:rPr>
          <w:t>m</w:t>
        </w:r>
        <w:r>
          <w:rPr>
            <w:rFonts w:ascii="Arial" w:eastAsia="Arial" w:hAnsi="Arial" w:cs="Arial"/>
            <w:color w:val="0000FF"/>
            <w:sz w:val="18"/>
            <w:szCs w:val="18"/>
          </w:rPr>
          <w:t>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93" w:rsidRDefault="004C5AA8">
      <w:r>
        <w:separator/>
      </w:r>
    </w:p>
  </w:footnote>
  <w:footnote w:type="continuationSeparator" w:id="0">
    <w:p w:rsidR="009F1893" w:rsidRDefault="004C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49" w:rsidRDefault="00363249" w:rsidP="00363249">
    <w:pPr>
      <w:pBdr>
        <w:top w:val="nil"/>
        <w:left w:val="nil"/>
        <w:bottom w:val="nil"/>
        <w:right w:val="nil"/>
        <w:between w:val="nil"/>
      </w:pBdr>
      <w:tabs>
        <w:tab w:val="center" w:pos="4680"/>
        <w:tab w:val="right" w:pos="8647"/>
      </w:tabs>
      <w:jc w:val="both"/>
      <w:rPr>
        <w:color w:val="000000"/>
        <w:sz w:val="24"/>
        <w:szCs w:val="24"/>
      </w:rPr>
    </w:pPr>
    <w:r>
      <w:rPr>
        <w:b/>
        <w:color w:val="000000"/>
        <w:sz w:val="24"/>
        <w:szCs w:val="24"/>
      </w:rPr>
      <w:t>JOURNAL</w:t>
    </w:r>
    <w:r>
      <w:rPr>
        <w:b/>
        <w:color w:val="000000"/>
        <w:sz w:val="24"/>
        <w:szCs w:val="24"/>
      </w:rPr>
      <w:tab/>
    </w:r>
    <w:r>
      <w:rPr>
        <w:b/>
        <w:color w:val="000000"/>
        <w:sz w:val="24"/>
        <w:szCs w:val="24"/>
      </w:rPr>
      <w:tab/>
      <w:t>FAKULTAS EKONOMI</w:t>
    </w:r>
  </w:p>
  <w:p w:rsidR="00363249" w:rsidRDefault="00363249" w:rsidP="00363249">
    <w:pPr>
      <w:pBdr>
        <w:top w:val="nil"/>
        <w:left w:val="nil"/>
        <w:bottom w:val="nil"/>
        <w:right w:val="nil"/>
        <w:between w:val="nil"/>
      </w:pBdr>
      <w:tabs>
        <w:tab w:val="center" w:pos="4680"/>
        <w:tab w:val="right" w:pos="8647"/>
      </w:tabs>
      <w:jc w:val="both"/>
      <w:rPr>
        <w:color w:val="000000"/>
        <w:sz w:val="24"/>
        <w:szCs w:val="24"/>
      </w:rPr>
    </w:pPr>
    <w:r>
      <w:rPr>
        <w:b/>
        <w:color w:val="000000"/>
        <w:sz w:val="24"/>
        <w:szCs w:val="24"/>
      </w:rPr>
      <w:t>GEOEKONOMI</w:t>
    </w:r>
    <w:r>
      <w:rPr>
        <w:b/>
        <w:color w:val="000000"/>
        <w:sz w:val="24"/>
        <w:szCs w:val="24"/>
      </w:rPr>
      <w:tab/>
    </w:r>
    <w:r>
      <w:rPr>
        <w:b/>
        <w:color w:val="000000"/>
        <w:sz w:val="24"/>
        <w:szCs w:val="24"/>
      </w:rPr>
      <w:tab/>
      <w:t>UNIVERSITAS BALIKPAPAN</w:t>
    </w:r>
  </w:p>
  <w:p w:rsidR="008101AE" w:rsidRDefault="008101AE">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473"/>
    <w:multiLevelType w:val="multilevel"/>
    <w:tmpl w:val="8898D3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2073755"/>
    <w:multiLevelType w:val="multilevel"/>
    <w:tmpl w:val="E11C71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77F30A65"/>
    <w:multiLevelType w:val="multilevel"/>
    <w:tmpl w:val="0504DFF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01AE"/>
    <w:rsid w:val="00070F47"/>
    <w:rsid w:val="00363249"/>
    <w:rsid w:val="004C5AA8"/>
    <w:rsid w:val="005842F3"/>
    <w:rsid w:val="006228B0"/>
    <w:rsid w:val="00625B6E"/>
    <w:rsid w:val="006B2576"/>
    <w:rsid w:val="0078464E"/>
    <w:rsid w:val="008101AE"/>
    <w:rsid w:val="0096213C"/>
    <w:rsid w:val="009F1893"/>
    <w:rsid w:val="00D4079E"/>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4C5AA8"/>
    <w:rPr>
      <w:color w:val="0000FF" w:themeColor="hyperlink"/>
      <w:u w:val="single"/>
    </w:rPr>
  </w:style>
  <w:style w:type="paragraph" w:styleId="BalloonText">
    <w:name w:val="Balloon Text"/>
    <w:basedOn w:val="Normal"/>
    <w:link w:val="BalloonTextChar"/>
    <w:uiPriority w:val="99"/>
    <w:semiHidden/>
    <w:unhideWhenUsed/>
    <w:rsid w:val="006228B0"/>
    <w:rPr>
      <w:rFonts w:ascii="Tahoma" w:hAnsi="Tahoma" w:cs="Tahoma"/>
      <w:sz w:val="16"/>
      <w:szCs w:val="16"/>
    </w:rPr>
  </w:style>
  <w:style w:type="character" w:customStyle="1" w:styleId="BalloonTextChar">
    <w:name w:val="Balloon Text Char"/>
    <w:basedOn w:val="DefaultParagraphFont"/>
    <w:link w:val="BalloonText"/>
    <w:uiPriority w:val="99"/>
    <w:semiHidden/>
    <w:rsid w:val="006228B0"/>
    <w:rPr>
      <w:rFonts w:ascii="Tahoma" w:hAnsi="Tahoma" w:cs="Tahoma"/>
      <w:sz w:val="16"/>
      <w:szCs w:val="16"/>
    </w:rPr>
  </w:style>
  <w:style w:type="paragraph" w:styleId="Header">
    <w:name w:val="header"/>
    <w:basedOn w:val="Normal"/>
    <w:link w:val="HeaderChar"/>
    <w:uiPriority w:val="99"/>
    <w:unhideWhenUsed/>
    <w:rsid w:val="00363249"/>
    <w:pPr>
      <w:tabs>
        <w:tab w:val="center" w:pos="4680"/>
        <w:tab w:val="right" w:pos="9360"/>
      </w:tabs>
    </w:pPr>
  </w:style>
  <w:style w:type="character" w:customStyle="1" w:styleId="HeaderChar">
    <w:name w:val="Header Char"/>
    <w:basedOn w:val="DefaultParagraphFont"/>
    <w:link w:val="Header"/>
    <w:uiPriority w:val="99"/>
    <w:rsid w:val="00363249"/>
  </w:style>
  <w:style w:type="paragraph" w:styleId="Footer">
    <w:name w:val="footer"/>
    <w:basedOn w:val="Normal"/>
    <w:link w:val="FooterChar"/>
    <w:uiPriority w:val="99"/>
    <w:unhideWhenUsed/>
    <w:rsid w:val="00363249"/>
    <w:pPr>
      <w:tabs>
        <w:tab w:val="center" w:pos="4680"/>
        <w:tab w:val="right" w:pos="9360"/>
      </w:tabs>
    </w:pPr>
  </w:style>
  <w:style w:type="character" w:customStyle="1" w:styleId="FooterChar">
    <w:name w:val="Footer Char"/>
    <w:basedOn w:val="DefaultParagraphFont"/>
    <w:link w:val="Footer"/>
    <w:uiPriority w:val="99"/>
    <w:rsid w:val="00363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4C5AA8"/>
    <w:rPr>
      <w:color w:val="0000FF" w:themeColor="hyperlink"/>
      <w:u w:val="single"/>
    </w:rPr>
  </w:style>
  <w:style w:type="paragraph" w:styleId="BalloonText">
    <w:name w:val="Balloon Text"/>
    <w:basedOn w:val="Normal"/>
    <w:link w:val="BalloonTextChar"/>
    <w:uiPriority w:val="99"/>
    <w:semiHidden/>
    <w:unhideWhenUsed/>
    <w:rsid w:val="006228B0"/>
    <w:rPr>
      <w:rFonts w:ascii="Tahoma" w:hAnsi="Tahoma" w:cs="Tahoma"/>
      <w:sz w:val="16"/>
      <w:szCs w:val="16"/>
    </w:rPr>
  </w:style>
  <w:style w:type="character" w:customStyle="1" w:styleId="BalloonTextChar">
    <w:name w:val="Balloon Text Char"/>
    <w:basedOn w:val="DefaultParagraphFont"/>
    <w:link w:val="BalloonText"/>
    <w:uiPriority w:val="99"/>
    <w:semiHidden/>
    <w:rsid w:val="006228B0"/>
    <w:rPr>
      <w:rFonts w:ascii="Tahoma" w:hAnsi="Tahoma" w:cs="Tahoma"/>
      <w:sz w:val="16"/>
      <w:szCs w:val="16"/>
    </w:rPr>
  </w:style>
  <w:style w:type="paragraph" w:styleId="Header">
    <w:name w:val="header"/>
    <w:basedOn w:val="Normal"/>
    <w:link w:val="HeaderChar"/>
    <w:uiPriority w:val="99"/>
    <w:unhideWhenUsed/>
    <w:rsid w:val="00363249"/>
    <w:pPr>
      <w:tabs>
        <w:tab w:val="center" w:pos="4680"/>
        <w:tab w:val="right" w:pos="9360"/>
      </w:tabs>
    </w:pPr>
  </w:style>
  <w:style w:type="character" w:customStyle="1" w:styleId="HeaderChar">
    <w:name w:val="Header Char"/>
    <w:basedOn w:val="DefaultParagraphFont"/>
    <w:link w:val="Header"/>
    <w:uiPriority w:val="99"/>
    <w:rsid w:val="00363249"/>
  </w:style>
  <w:style w:type="paragraph" w:styleId="Footer">
    <w:name w:val="footer"/>
    <w:basedOn w:val="Normal"/>
    <w:link w:val="FooterChar"/>
    <w:uiPriority w:val="99"/>
    <w:unhideWhenUsed/>
    <w:rsid w:val="00363249"/>
    <w:pPr>
      <w:tabs>
        <w:tab w:val="center" w:pos="4680"/>
        <w:tab w:val="right" w:pos="9360"/>
      </w:tabs>
    </w:pPr>
  </w:style>
  <w:style w:type="character" w:customStyle="1" w:styleId="FooterChar">
    <w:name w:val="Footer Char"/>
    <w:basedOn w:val="DefaultParagraphFont"/>
    <w:link w:val="Footer"/>
    <w:uiPriority w:val="99"/>
    <w:rsid w:val="0036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triawaty.migang@uniba-bpn.ac.id" TargetMode="External"/><Relationship Id="rId13" Type="http://schemas.openxmlformats.org/officeDocument/2006/relationships/hyperlink" Target="http://doi.org/10.1108/095135713112856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urnal.fem.uniba-bpn.ac.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5949</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2022-03-30T18:38:00Z</cp:lastPrinted>
  <dcterms:created xsi:type="dcterms:W3CDTF">2022-03-30T01:34:00Z</dcterms:created>
  <dcterms:modified xsi:type="dcterms:W3CDTF">2022-03-30T18:38:00Z</dcterms:modified>
</cp:coreProperties>
</file>